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66814F33" w:rsidR="00310B81"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 xml:space="preserve">2026 </w:t>
      </w:r>
      <w:r w:rsidR="00B6325B">
        <w:rPr>
          <w:rFonts w:ascii="Arial" w:hAnsi="Arial" w:cs="Arial"/>
          <w:b/>
          <w:bCs/>
          <w:color w:val="1F3864" w:themeColor="accent1" w:themeShade="80"/>
          <w:sz w:val="20"/>
          <w:szCs w:val="20"/>
        </w:rPr>
        <w:t>–</w:t>
      </w:r>
      <w:r w:rsidR="00C7353B" w:rsidRPr="00FE72C8">
        <w:rPr>
          <w:rFonts w:ascii="Arial" w:hAnsi="Arial" w:cs="Arial"/>
          <w:b/>
          <w:bCs/>
          <w:color w:val="1F3864" w:themeColor="accent1" w:themeShade="80"/>
          <w:sz w:val="20"/>
          <w:szCs w:val="20"/>
        </w:rPr>
        <w:t xml:space="preserve"> 2027</w:t>
      </w:r>
    </w:p>
    <w:p w14:paraId="76813267" w14:textId="77777777" w:rsidR="00B6325B" w:rsidRPr="00FE72C8" w:rsidRDefault="00B6325B" w:rsidP="00F874BA">
      <w:pPr>
        <w:jc w:val="center"/>
        <w:rPr>
          <w:rFonts w:ascii="Arial" w:hAnsi="Arial" w:cs="Arial"/>
          <w:b/>
          <w:bCs/>
          <w:color w:val="1F3864" w:themeColor="accent1" w:themeShade="80"/>
          <w:sz w:val="20"/>
          <w:szCs w:val="20"/>
        </w:rPr>
      </w:pPr>
    </w:p>
    <w:p w14:paraId="4A958EA0" w14:textId="6228BD27" w:rsidR="00310B81" w:rsidRPr="00FE72C8" w:rsidRDefault="00310B81" w:rsidP="00F874BA">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Subject Area: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w:t>
      </w:r>
      <w:r w:rsidR="009522F5">
        <w:rPr>
          <w:rFonts w:ascii="Arial" w:hAnsi="Arial" w:cs="Arial"/>
          <w:color w:val="1F3864" w:themeColor="accent1" w:themeShade="80"/>
          <w:sz w:val="20"/>
          <w:szCs w:val="20"/>
        </w:rPr>
        <w:t xml:space="preserve">Art and </w:t>
      </w:r>
      <w:r w:rsidR="00B6325B">
        <w:rPr>
          <w:rFonts w:ascii="Arial" w:hAnsi="Arial" w:cs="Arial"/>
          <w:color w:val="1F3864" w:themeColor="accent1" w:themeShade="80"/>
          <w:sz w:val="20"/>
          <w:szCs w:val="20"/>
        </w:rPr>
        <w:t>Design</w:t>
      </w:r>
      <w:r w:rsidRPr="00FE72C8">
        <w:rPr>
          <w:rFonts w:ascii="Arial" w:hAnsi="Arial" w:cs="Arial"/>
          <w:color w:val="1F3864" w:themeColor="accent1" w:themeShade="80"/>
          <w:sz w:val="20"/>
          <w:szCs w:val="20"/>
        </w:rPr>
        <w:t xml:space="preserve">               Leader: </w:t>
      </w:r>
      <w:r w:rsidR="009522F5">
        <w:rPr>
          <w:rFonts w:ascii="Arial" w:hAnsi="Arial" w:cs="Arial"/>
          <w:color w:val="1F3864" w:themeColor="accent1" w:themeShade="80"/>
          <w:sz w:val="20"/>
          <w:szCs w:val="20"/>
        </w:rPr>
        <w:t xml:space="preserve">Pippa Houghton </w:t>
      </w:r>
    </w:p>
    <w:p w14:paraId="668D6218" w14:textId="77777777" w:rsidR="00310B81" w:rsidRPr="00FE72C8" w:rsidRDefault="00310B81" w:rsidP="00310B81">
      <w:pPr>
        <w:rPr>
          <w:rFonts w:ascii="Arial" w:hAnsi="Arial" w:cs="Arial"/>
          <w:color w:val="1F3864" w:themeColor="accent1" w:themeShade="80"/>
          <w:sz w:val="20"/>
          <w:szCs w:val="20"/>
        </w:rPr>
      </w:pPr>
    </w:p>
    <w:p w14:paraId="58F927FB" w14:textId="6775AA77" w:rsidR="00021915" w:rsidRPr="00FE72C8" w:rsidRDefault="00021915"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3392"/>
        <w:gridCol w:w="156"/>
        <w:gridCol w:w="25"/>
        <w:gridCol w:w="540"/>
        <w:gridCol w:w="4080"/>
        <w:gridCol w:w="76"/>
        <w:gridCol w:w="165"/>
        <w:gridCol w:w="495"/>
        <w:gridCol w:w="2696"/>
        <w:gridCol w:w="1416"/>
        <w:gridCol w:w="57"/>
        <w:gridCol w:w="508"/>
      </w:tblGrid>
      <w:tr w:rsidR="00FE72C8" w:rsidRPr="00FE72C8" w14:paraId="468D72CF" w14:textId="77777777" w:rsidTr="007C46C4">
        <w:trPr>
          <w:cantSplit/>
        </w:trPr>
        <w:tc>
          <w:tcPr>
            <w:tcW w:w="2010" w:type="pct"/>
            <w:gridSpan w:val="5"/>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8"/>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r w:rsidRPr="00FE72C8">
              <w:rPr>
                <w:rStyle w:val="Strong"/>
                <w:rFonts w:ascii="Arial" w:hAnsi="Arial" w:cs="Arial"/>
                <w:color w:val="1F3864" w:themeColor="accent1" w:themeShade="80"/>
                <w:sz w:val="20"/>
                <w:szCs w:val="20"/>
              </w:rPr>
              <w:t>oracy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B679C8">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gridSpan w:val="4"/>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7" w:type="pct"/>
            <w:gridSpan w:val="4"/>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49"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44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178"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13"/>
            <w:shd w:val="clear" w:color="auto" w:fill="DEEAF6" w:themeFill="accent5" w:themeFillTint="33"/>
          </w:tcPr>
          <w:p w14:paraId="25E5FE55" w14:textId="220AFDDB" w:rsidR="00DA2C3B" w:rsidRPr="00FE72C8" w:rsidRDefault="00DA2C3B" w:rsidP="00F874BA">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Priority Target 1</w:t>
            </w:r>
          </w:p>
          <w:p w14:paraId="4E8A9F42" w14:textId="4287E4CA" w:rsidR="00DA2C3B" w:rsidRPr="00FE72C8" w:rsidRDefault="00DB06B3" w:rsidP="007C46C4">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FE72C8">
              <w:rPr>
                <w:rFonts w:ascii="Arial" w:hAnsi="Arial" w:cs="Arial"/>
                <w:b/>
                <w:color w:val="1F3864" w:themeColor="accent1" w:themeShade="80"/>
                <w:sz w:val="20"/>
                <w:szCs w:val="20"/>
              </w:rPr>
              <w:t xml:space="preserve"> and retrieval </w:t>
            </w:r>
            <w:r w:rsidRPr="00FE72C8">
              <w:rPr>
                <w:rFonts w:ascii="Arial" w:hAnsi="Arial" w:cs="Arial"/>
                <w:b/>
                <w:color w:val="1F3864" w:themeColor="accent1" w:themeShade="80"/>
                <w:sz w:val="20"/>
                <w:szCs w:val="20"/>
              </w:rPr>
              <w:t>of knowledge.</w:t>
            </w:r>
          </w:p>
        </w:tc>
      </w:tr>
      <w:tr w:rsidR="00FE72C8" w:rsidRPr="00FE72C8" w14:paraId="7F16AB8E" w14:textId="77777777" w:rsidTr="00B679C8">
        <w:trPr>
          <w:trHeight w:val="2930"/>
        </w:trPr>
        <w:tc>
          <w:tcPr>
            <w:tcW w:w="715" w:type="pct"/>
          </w:tcPr>
          <w:p w14:paraId="2BB0A0DA" w14:textId="1B392237" w:rsidR="001545A6" w:rsidRPr="00FE72C8" w:rsidRDefault="00AE6B0D" w:rsidP="00435671">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Strengthen </w:t>
            </w:r>
            <w:r w:rsidR="009522F5">
              <w:rPr>
                <w:rFonts w:ascii="Arial" w:hAnsi="Arial" w:cs="Arial"/>
                <w:b/>
                <w:bCs/>
                <w:color w:val="1F3864" w:themeColor="accent1" w:themeShade="80"/>
                <w:sz w:val="20"/>
                <w:szCs w:val="20"/>
              </w:rPr>
              <w:t xml:space="preserve">Art </w:t>
            </w:r>
            <w:r w:rsidRPr="00FE72C8">
              <w:rPr>
                <w:rFonts w:ascii="Arial" w:hAnsi="Arial" w:cs="Arial"/>
                <w:b/>
                <w:bCs/>
                <w:color w:val="1F3864" w:themeColor="accent1" w:themeShade="80"/>
                <w:sz w:val="20"/>
                <w:szCs w:val="20"/>
              </w:rPr>
              <w:t>curriculum delivery through effective sequencing, retrieval and independent learning.</w:t>
            </w:r>
          </w:p>
        </w:tc>
        <w:tc>
          <w:tcPr>
            <w:tcW w:w="1295" w:type="pct"/>
            <w:gridSpan w:val="4"/>
          </w:tcPr>
          <w:p w14:paraId="1F939E66" w14:textId="0B723811"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Plan learning in a clear sequence using </w:t>
            </w:r>
            <w:r w:rsidR="009522F5">
              <w:rPr>
                <w:rFonts w:ascii="Arial" w:hAnsi="Arial" w:cs="Arial"/>
                <w:color w:val="1F3864" w:themeColor="accent1" w:themeShade="80"/>
                <w:sz w:val="20"/>
                <w:szCs w:val="20"/>
              </w:rPr>
              <w:t xml:space="preserve">Art and Design </w:t>
            </w:r>
            <w:r w:rsidRPr="00FE72C8">
              <w:rPr>
                <w:rFonts w:ascii="Arial" w:hAnsi="Arial" w:cs="Arial"/>
                <w:color w:val="1F3864" w:themeColor="accent1" w:themeShade="80"/>
                <w:sz w:val="20"/>
                <w:szCs w:val="20"/>
              </w:rPr>
              <w:t>curriculum maps.</w:t>
            </w:r>
          </w:p>
          <w:p w14:paraId="7D307D6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retrieval activities to revisit prior learning.</w:t>
            </w:r>
          </w:p>
          <w:p w14:paraId="4848BEA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Match tasks closely to learning objectives.</w:t>
            </w:r>
          </w:p>
          <w:p w14:paraId="29C6D07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independence through modelling, guided practice and scaffolding.</w:t>
            </w:r>
          </w:p>
          <w:p w14:paraId="4B38C0E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timely feedback to address misconceptions.</w:t>
            </w:r>
          </w:p>
          <w:p w14:paraId="2E288F51" w14:textId="77777777" w:rsidR="00E537AC"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effective methods for recording and organising knowledge.</w:t>
            </w:r>
          </w:p>
          <w:p w14:paraId="513123D7" w14:textId="44ACA451" w:rsidR="007C46C4" w:rsidRPr="00FE72C8" w:rsidRDefault="007C46C4" w:rsidP="00AE6B0D">
            <w:pPr>
              <w:rPr>
                <w:rFonts w:ascii="Arial" w:hAnsi="Arial" w:cs="Arial"/>
                <w:color w:val="1F3864" w:themeColor="accent1" w:themeShade="80"/>
                <w:sz w:val="20"/>
                <w:szCs w:val="20"/>
              </w:rPr>
            </w:pPr>
          </w:p>
        </w:tc>
        <w:tc>
          <w:tcPr>
            <w:tcW w:w="1517" w:type="pct"/>
            <w:gridSpan w:val="4"/>
          </w:tcPr>
          <w:p w14:paraId="6BE98E7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builds on prior knowledge.</w:t>
            </w:r>
          </w:p>
          <w:p w14:paraId="7A0B4391"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recall key knowledge confidently.</w:t>
            </w:r>
          </w:p>
          <w:p w14:paraId="1D2C17E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Tasks support intended outcomes.</w:t>
            </w:r>
          </w:p>
          <w:p w14:paraId="3F9CAC24"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show increasing independence.</w:t>
            </w:r>
          </w:p>
          <w:p w14:paraId="7884AAA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Misconceptions are addressed promptly.</w:t>
            </w:r>
          </w:p>
          <w:p w14:paraId="6538DA40" w14:textId="1493D71C" w:rsidR="00782B6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Work demonstrates progression over time.</w:t>
            </w:r>
          </w:p>
        </w:tc>
        <w:tc>
          <w:tcPr>
            <w:tcW w:w="849" w:type="pct"/>
          </w:tcPr>
          <w:p w14:paraId="3B2A66A2"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walks and lesson observations.</w:t>
            </w:r>
          </w:p>
          <w:p w14:paraId="64B01669"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Planning scrutiny.</w:t>
            </w:r>
          </w:p>
          <w:p w14:paraId="5258B7E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Book scrutiny.</w:t>
            </w:r>
          </w:p>
          <w:p w14:paraId="3092DE4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 voice.</w:t>
            </w:r>
          </w:p>
          <w:p w14:paraId="0D65EB5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Assessment data reviews.</w:t>
            </w:r>
          </w:p>
          <w:p w14:paraId="1E98972B" w14:textId="1A0310A6" w:rsidR="00715C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CPD impact evaluation.</w:t>
            </w:r>
          </w:p>
        </w:tc>
        <w:tc>
          <w:tcPr>
            <w:tcW w:w="446" w:type="pct"/>
          </w:tcPr>
          <w:p w14:paraId="5EEC1081" w14:textId="2621DD8F" w:rsidR="001545A6" w:rsidRPr="00FE72C8" w:rsidRDefault="001545A6" w:rsidP="006F32F0">
            <w:pPr>
              <w:rPr>
                <w:rFonts w:ascii="Arial" w:hAnsi="Arial" w:cs="Arial"/>
                <w:bCs/>
                <w:color w:val="1F3864" w:themeColor="accent1" w:themeShade="80"/>
                <w:sz w:val="20"/>
                <w:szCs w:val="20"/>
              </w:rPr>
            </w:pPr>
          </w:p>
        </w:tc>
        <w:tc>
          <w:tcPr>
            <w:tcW w:w="178" w:type="pct"/>
            <w:gridSpan w:val="2"/>
          </w:tcPr>
          <w:p w14:paraId="2142146F" w14:textId="77777777" w:rsidR="001545A6" w:rsidRPr="00FE72C8" w:rsidRDefault="001545A6" w:rsidP="006F32F0">
            <w:pPr>
              <w:rPr>
                <w:rFonts w:ascii="Arial" w:hAnsi="Arial" w:cs="Arial"/>
                <w:b/>
                <w:bCs/>
                <w:color w:val="1F3864" w:themeColor="accent1" w:themeShade="80"/>
                <w:sz w:val="20"/>
                <w:szCs w:val="20"/>
              </w:rPr>
            </w:pPr>
          </w:p>
        </w:tc>
      </w:tr>
      <w:tr w:rsidR="00FE72C8" w:rsidRPr="00FE72C8" w14:paraId="67668487" w14:textId="77777777" w:rsidTr="00DA2C3B">
        <w:trPr>
          <w:trHeight w:val="735"/>
        </w:trPr>
        <w:tc>
          <w:tcPr>
            <w:tcW w:w="5000" w:type="pct"/>
            <w:gridSpan w:val="13"/>
            <w:shd w:val="clear" w:color="auto" w:fill="DEEAF6" w:themeFill="accent5" w:themeFillTint="33"/>
          </w:tcPr>
          <w:p w14:paraId="23C0607F" w14:textId="1D3BAB16" w:rsidR="006F32F0" w:rsidRPr="00FE72C8" w:rsidRDefault="006F32F0"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lastRenderedPageBreak/>
              <w:t>Priority Target 2</w:t>
            </w:r>
          </w:p>
          <w:p w14:paraId="151F34CD" w14:textId="52809612" w:rsidR="00435671" w:rsidRPr="00FE72C8" w:rsidRDefault="00435671" w:rsidP="006F32F0">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FE72C8" w:rsidRDefault="006F32F0" w:rsidP="00435671">
            <w:pPr>
              <w:rPr>
                <w:rFonts w:ascii="Arial" w:hAnsi="Arial" w:cs="Arial"/>
                <w:b/>
                <w:bCs/>
                <w:color w:val="1F3864" w:themeColor="accent1" w:themeShade="80"/>
                <w:sz w:val="20"/>
                <w:szCs w:val="20"/>
              </w:rPr>
            </w:pPr>
          </w:p>
        </w:tc>
      </w:tr>
      <w:tr w:rsidR="00FE72C8" w:rsidRPr="00FE72C8" w14:paraId="1A9B71F4" w14:textId="77777777" w:rsidTr="00B679C8">
        <w:trPr>
          <w:trHeight w:val="735"/>
        </w:trPr>
        <w:tc>
          <w:tcPr>
            <w:tcW w:w="715" w:type="pct"/>
          </w:tcPr>
          <w:p w14:paraId="62F72667" w14:textId="2E713428" w:rsidR="00B84EDD" w:rsidRPr="00FE72C8" w:rsidRDefault="00AE6B0D" w:rsidP="00B84EDD">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Develop pupils' oracy skills across the</w:t>
            </w:r>
            <w:r w:rsidR="009522F5">
              <w:rPr>
                <w:rFonts w:ascii="Arial" w:hAnsi="Arial" w:cs="Arial"/>
                <w:b/>
                <w:bCs/>
                <w:color w:val="1F3864" w:themeColor="accent1" w:themeShade="80"/>
                <w:sz w:val="20"/>
                <w:szCs w:val="20"/>
              </w:rPr>
              <w:t xml:space="preserve"> Art</w:t>
            </w:r>
            <w:r w:rsidRPr="00FE72C8">
              <w:rPr>
                <w:rFonts w:ascii="Arial" w:hAnsi="Arial" w:cs="Arial"/>
                <w:b/>
                <w:bCs/>
                <w:color w:val="1F3864" w:themeColor="accent1" w:themeShade="80"/>
                <w:sz w:val="20"/>
                <w:szCs w:val="20"/>
              </w:rPr>
              <w:t xml:space="preserve"> curriculum.</w:t>
            </w:r>
          </w:p>
        </w:tc>
        <w:tc>
          <w:tcPr>
            <w:tcW w:w="1125" w:type="pct"/>
            <w:gridSpan w:val="3"/>
          </w:tcPr>
          <w:p w14:paraId="7EB607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Embed structured talk activities in lessons.</w:t>
            </w:r>
          </w:p>
          <w:p w14:paraId="28513B82"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Teach and model subject-specific vocabulary.</w:t>
            </w:r>
          </w:p>
          <w:p w14:paraId="4F64C4F7"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 opportunities for discussion, debate and presentation.</w:t>
            </w:r>
          </w:p>
          <w:p w14:paraId="67E5104B"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Use speaking frames and visual prompts where needed.</w:t>
            </w:r>
          </w:p>
          <w:p w14:paraId="59AF01E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Celebrate pupil voice and speaking opportunities.</w:t>
            </w:r>
          </w:p>
          <w:p w14:paraId="41AA67E8" w14:textId="29E91A5E" w:rsidR="00707E26"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Share effective practice through CPD.</w:t>
            </w:r>
          </w:p>
        </w:tc>
        <w:tc>
          <w:tcPr>
            <w:tcW w:w="1531" w:type="pct"/>
            <w:gridSpan w:val="4"/>
          </w:tcPr>
          <w:p w14:paraId="2A737D3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Pupils speak confidently and use subject vocabulary accurately.</w:t>
            </w:r>
          </w:p>
          <w:p w14:paraId="2B966A6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Oracy is evident across subjects.</w:t>
            </w:r>
          </w:p>
          <w:p w14:paraId="447C2A89"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Pupils participate actively in discussions.</w:t>
            </w:r>
          </w:p>
          <w:p w14:paraId="4160F497" w14:textId="6A78AA0D" w:rsidR="00B84ED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Confidence, listening and turn-taking improve.</w:t>
            </w:r>
          </w:p>
        </w:tc>
        <w:tc>
          <w:tcPr>
            <w:tcW w:w="1005" w:type="pct"/>
            <w:gridSpan w:val="2"/>
          </w:tcPr>
          <w:p w14:paraId="3BEE6E65"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Learning walks and lesson observations.</w:t>
            </w:r>
          </w:p>
          <w:p w14:paraId="450DFAC6"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Planning scrutiny.</w:t>
            </w:r>
          </w:p>
          <w:p w14:paraId="445A4ED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Pupil voice.</w:t>
            </w:r>
          </w:p>
          <w:p w14:paraId="578FE1A0"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Work scrutiny and displays.</w:t>
            </w:r>
          </w:p>
          <w:p w14:paraId="5D11C9A5" w14:textId="45CFAE90" w:rsidR="00B84ED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Staff reflections and CPD reviews.</w:t>
            </w:r>
          </w:p>
        </w:tc>
        <w:tc>
          <w:tcPr>
            <w:tcW w:w="446" w:type="pct"/>
          </w:tcPr>
          <w:p w14:paraId="0E71B6E8" w14:textId="5CC44517" w:rsidR="00B84EDD" w:rsidRPr="00FE72C8" w:rsidRDefault="00B84EDD" w:rsidP="00B84EDD">
            <w:pPr>
              <w:rPr>
                <w:rFonts w:ascii="Arial" w:hAnsi="Arial" w:cs="Arial"/>
                <w:bCs/>
                <w:color w:val="1F3864" w:themeColor="accent1" w:themeShade="80"/>
                <w:sz w:val="20"/>
                <w:szCs w:val="20"/>
              </w:rPr>
            </w:pPr>
          </w:p>
        </w:tc>
        <w:tc>
          <w:tcPr>
            <w:tcW w:w="178" w:type="pct"/>
            <w:gridSpan w:val="2"/>
          </w:tcPr>
          <w:p w14:paraId="3B828E57"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60A60155" w14:textId="77777777" w:rsidTr="00DA2C3B">
        <w:trPr>
          <w:trHeight w:val="735"/>
        </w:trPr>
        <w:tc>
          <w:tcPr>
            <w:tcW w:w="5000" w:type="pct"/>
            <w:gridSpan w:val="13"/>
            <w:shd w:val="clear" w:color="auto" w:fill="DEEAF6" w:themeFill="accent5" w:themeFillTint="33"/>
          </w:tcPr>
          <w:p w14:paraId="452FCB7B" w14:textId="76F9EFD3" w:rsidR="007C46C4" w:rsidRPr="00FE72C8" w:rsidRDefault="00B84EDD"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3</w:t>
            </w:r>
            <w:r w:rsidR="007C46C4" w:rsidRPr="00FE72C8">
              <w:rPr>
                <w:rFonts w:ascii="Arial" w:hAnsi="Arial" w:cs="Arial"/>
                <w:b/>
                <w:color w:val="1F3864" w:themeColor="accent1" w:themeShade="80"/>
                <w:sz w:val="20"/>
                <w:szCs w:val="20"/>
              </w:rPr>
              <w:t xml:space="preserve">  </w:t>
            </w:r>
          </w:p>
          <w:p w14:paraId="419733AB" w14:textId="3EE3D359" w:rsidR="00B84EDD" w:rsidRPr="00FE72C8" w:rsidRDefault="00275785" w:rsidP="00B84ED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Continue to refine </w:t>
            </w:r>
            <w:r w:rsidR="00B84EDD" w:rsidRPr="00FE72C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FE72C8">
              <w:rPr>
                <w:rFonts w:ascii="Arial" w:hAnsi="Arial" w:cs="Arial"/>
                <w:b/>
                <w:color w:val="1F3864" w:themeColor="accent1" w:themeShade="80"/>
                <w:sz w:val="20"/>
                <w:szCs w:val="20"/>
              </w:rPr>
              <w:t>.</w:t>
            </w:r>
          </w:p>
        </w:tc>
      </w:tr>
      <w:tr w:rsidR="00FE72C8" w:rsidRPr="00FE72C8" w14:paraId="193F1895" w14:textId="77777777" w:rsidTr="00B679C8">
        <w:trPr>
          <w:trHeight w:val="735"/>
        </w:trPr>
        <w:tc>
          <w:tcPr>
            <w:tcW w:w="715" w:type="pct"/>
            <w:tcBorders>
              <w:bottom w:val="nil"/>
            </w:tcBorders>
          </w:tcPr>
          <w:p w14:paraId="4B049341" w14:textId="69898BA5"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Strengthen adaptive teaching to meet the needs of all learners.</w:t>
            </w:r>
            <w:r w:rsidRPr="00FE72C8">
              <w:rPr>
                <w:rFonts w:ascii="Arial" w:hAnsi="Arial" w:cs="Arial"/>
                <w:b/>
                <w:color w:val="1F3864" w:themeColor="accent1" w:themeShade="80"/>
                <w:sz w:val="20"/>
                <w:szCs w:val="20"/>
              </w:rPr>
              <w:tab/>
            </w:r>
          </w:p>
          <w:p w14:paraId="09921037" w14:textId="61B23285" w:rsidR="00AE6B0D" w:rsidRPr="00FE72C8" w:rsidRDefault="00AE6B0D" w:rsidP="00AE6B0D">
            <w:pPr>
              <w:rPr>
                <w:rFonts w:ascii="Arial" w:hAnsi="Arial" w:cs="Arial"/>
                <w:b/>
                <w:color w:val="1F3864" w:themeColor="accent1" w:themeShade="80"/>
                <w:sz w:val="20"/>
                <w:szCs w:val="20"/>
              </w:rPr>
            </w:pPr>
          </w:p>
          <w:p w14:paraId="394D19DB" w14:textId="20907A58" w:rsidR="00AE6B0D" w:rsidRPr="00FE72C8" w:rsidRDefault="00AE6B0D" w:rsidP="00AE6B0D">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ab/>
            </w:r>
          </w:p>
          <w:p w14:paraId="31E26977" w14:textId="65D54310" w:rsidR="00AE6B0D" w:rsidRPr="00FE72C8" w:rsidRDefault="00AE6B0D" w:rsidP="00AE6B0D">
            <w:pPr>
              <w:rPr>
                <w:rFonts w:ascii="Arial" w:hAnsi="Arial" w:cs="Arial"/>
                <w:b/>
                <w:color w:val="1F3864" w:themeColor="accent1" w:themeShade="80"/>
                <w:sz w:val="20"/>
                <w:szCs w:val="20"/>
              </w:rPr>
            </w:pPr>
          </w:p>
          <w:p w14:paraId="4D6B016B" w14:textId="5EEC7DC2" w:rsidR="00B84EDD" w:rsidRPr="00FE72C8" w:rsidRDefault="00B84EDD" w:rsidP="00AE6B0D">
            <w:pPr>
              <w:rPr>
                <w:rFonts w:ascii="Arial" w:hAnsi="Arial" w:cs="Arial"/>
                <w:b/>
                <w:color w:val="1F3864" w:themeColor="accent1" w:themeShade="80"/>
                <w:sz w:val="20"/>
                <w:szCs w:val="20"/>
              </w:rPr>
            </w:pPr>
          </w:p>
        </w:tc>
        <w:tc>
          <w:tcPr>
            <w:tcW w:w="1068" w:type="pct"/>
            <w:tcBorders>
              <w:bottom w:val="nil"/>
            </w:tcBorders>
          </w:tcPr>
          <w:p w14:paraId="49FD2482"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Provide appropriate support, scaffolds and challenge.</w:t>
            </w:r>
          </w:p>
          <w:p w14:paraId="0F6E5E6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Use adaptive resources and flexible grouping.</w:t>
            </w:r>
          </w:p>
          <w:p w14:paraId="18295537"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Adapt teaching through effective questioning and assessment.</w:t>
            </w:r>
          </w:p>
          <w:p w14:paraId="04B6DBC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Share good practice through CPD and collaboration.</w:t>
            </w:r>
          </w:p>
          <w:p w14:paraId="60CF0906" w14:textId="77777777" w:rsidR="00CB761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Maintain high expectations and promote independence.</w:t>
            </w:r>
          </w:p>
          <w:p w14:paraId="019A25D7"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Use assessment, SEND/EAL profiles and pupil voice to inform planning.</w:t>
            </w:r>
          </w:p>
          <w:p w14:paraId="74821E13" w14:textId="3D7F899C" w:rsidR="00AE6B0D" w:rsidRPr="00FE72C8" w:rsidRDefault="00AE6B0D" w:rsidP="00AE6B0D">
            <w:pPr>
              <w:rPr>
                <w:rFonts w:ascii="Arial" w:hAnsi="Arial" w:cs="Arial"/>
                <w:bCs/>
                <w:color w:val="1F3864" w:themeColor="accent1" w:themeShade="80"/>
                <w:sz w:val="20"/>
                <w:szCs w:val="20"/>
              </w:rPr>
            </w:pPr>
          </w:p>
        </w:tc>
        <w:tc>
          <w:tcPr>
            <w:tcW w:w="1512" w:type="pct"/>
            <w:gridSpan w:val="4"/>
          </w:tcPr>
          <w:p w14:paraId="0412AE9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Lessons show effective adaptation and challenge.</w:t>
            </w:r>
          </w:p>
          <w:p w14:paraId="5BC13132"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access learning and make good progress.</w:t>
            </w:r>
          </w:p>
          <w:p w14:paraId="1D89308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SEND, EAL and disadvantaged pupils achieve well.</w:t>
            </w:r>
          </w:p>
          <w:p w14:paraId="3318151F"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feel supported and challenged.</w:t>
            </w:r>
          </w:p>
          <w:p w14:paraId="33EB5C7E" w14:textId="3DEF0AD2" w:rsidR="00B84ED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confidently adapt learning to meet needs.</w:t>
            </w:r>
            <w:r w:rsidRPr="00FE72C8">
              <w:rPr>
                <w:rFonts w:ascii="Arial" w:hAnsi="Arial" w:cs="Arial"/>
                <w:bCs/>
                <w:color w:val="1F3864" w:themeColor="accent1" w:themeShade="80"/>
                <w:sz w:val="20"/>
                <w:szCs w:val="20"/>
              </w:rPr>
              <w:tab/>
            </w:r>
          </w:p>
        </w:tc>
        <w:tc>
          <w:tcPr>
            <w:tcW w:w="1081" w:type="pct"/>
            <w:gridSpan w:val="4"/>
          </w:tcPr>
          <w:p w14:paraId="293DAA2C"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Learning walks and lesson observations.</w:t>
            </w:r>
          </w:p>
          <w:p w14:paraId="3DB6318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Planning and book scrutiny.</w:t>
            </w:r>
          </w:p>
          <w:p w14:paraId="1195DB56"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3D0C31EF"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Assessment and progress data.</w:t>
            </w:r>
          </w:p>
          <w:p w14:paraId="17E46070"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Monitoring of vulnerable groups.</w:t>
            </w:r>
          </w:p>
          <w:p w14:paraId="67480F8F" w14:textId="2F546E86" w:rsidR="00B84ED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CPD impact reviews.</w:t>
            </w:r>
          </w:p>
        </w:tc>
        <w:tc>
          <w:tcPr>
            <w:tcW w:w="464" w:type="pct"/>
            <w:gridSpan w:val="2"/>
          </w:tcPr>
          <w:p w14:paraId="5289CD38" w14:textId="199DF88B" w:rsidR="00B84EDD" w:rsidRPr="00FE72C8" w:rsidRDefault="00B84EDD" w:rsidP="00B84EDD">
            <w:pPr>
              <w:rPr>
                <w:rFonts w:ascii="Arial" w:hAnsi="Arial" w:cs="Arial"/>
                <w:bCs/>
                <w:color w:val="1F3864" w:themeColor="accent1" w:themeShade="80"/>
                <w:sz w:val="20"/>
                <w:szCs w:val="20"/>
              </w:rPr>
            </w:pPr>
          </w:p>
        </w:tc>
        <w:tc>
          <w:tcPr>
            <w:tcW w:w="160" w:type="pct"/>
          </w:tcPr>
          <w:p w14:paraId="0B92C93E" w14:textId="77777777" w:rsidR="00B84EDD" w:rsidRPr="00FE72C8" w:rsidRDefault="00B84EDD" w:rsidP="00B84EDD">
            <w:pPr>
              <w:rPr>
                <w:rFonts w:ascii="Arial" w:hAnsi="Arial" w:cs="Arial"/>
                <w:b/>
                <w:bCs/>
                <w:color w:val="1F3864" w:themeColor="accent1" w:themeShade="80"/>
                <w:sz w:val="20"/>
                <w:szCs w:val="20"/>
              </w:rPr>
            </w:pPr>
          </w:p>
        </w:tc>
      </w:tr>
      <w:tr w:rsidR="00FE72C8" w:rsidRPr="00FE72C8" w14:paraId="4FB0B613" w14:textId="77777777" w:rsidTr="00DA2C3B">
        <w:trPr>
          <w:trHeight w:val="735"/>
        </w:trPr>
        <w:tc>
          <w:tcPr>
            <w:tcW w:w="5000" w:type="pct"/>
            <w:gridSpan w:val="13"/>
            <w:shd w:val="clear" w:color="auto" w:fill="DEEAF6" w:themeFill="accent5" w:themeFillTint="33"/>
          </w:tcPr>
          <w:p w14:paraId="5DC34B7E" w14:textId="77777777" w:rsidR="007C46C4" w:rsidRPr="00FE72C8" w:rsidRDefault="00B84EDD" w:rsidP="008050CF">
            <w:pPr>
              <w:rPr>
                <w:rFonts w:ascii="Arial" w:hAnsi="Arial" w:cs="Arial"/>
                <w:b/>
                <w:color w:val="1F3864" w:themeColor="accent1" w:themeShade="80"/>
                <w:sz w:val="20"/>
                <w:szCs w:val="20"/>
              </w:rPr>
            </w:pPr>
            <w:r w:rsidRPr="00FE72C8">
              <w:rPr>
                <w:rFonts w:ascii="Arial" w:hAnsi="Arial" w:cs="Arial"/>
                <w:b/>
                <w:color w:val="1F3864" w:themeColor="accent1" w:themeShade="80"/>
                <w:sz w:val="20"/>
                <w:szCs w:val="20"/>
              </w:rPr>
              <w:t xml:space="preserve">Priority Target </w:t>
            </w:r>
            <w:r w:rsidR="00A66666" w:rsidRPr="00FE72C8">
              <w:rPr>
                <w:rFonts w:ascii="Arial" w:hAnsi="Arial" w:cs="Arial"/>
                <w:b/>
                <w:color w:val="1F3864" w:themeColor="accent1" w:themeShade="80"/>
                <w:sz w:val="20"/>
                <w:szCs w:val="20"/>
              </w:rPr>
              <w:t>4</w:t>
            </w:r>
            <w:r w:rsidR="00347281" w:rsidRPr="00FE72C8">
              <w:rPr>
                <w:rFonts w:ascii="Arial" w:hAnsi="Arial" w:cs="Arial"/>
                <w:b/>
                <w:color w:val="1F3864" w:themeColor="accent1" w:themeShade="80"/>
                <w:sz w:val="20"/>
                <w:szCs w:val="20"/>
              </w:rPr>
              <w:t xml:space="preserve"> </w:t>
            </w:r>
          </w:p>
          <w:p w14:paraId="5BC27FE1" w14:textId="616794C6" w:rsidR="00B84EDD" w:rsidRPr="00FE72C8" w:rsidRDefault="00AE6B0D" w:rsidP="008050CF">
            <w:pPr>
              <w:rPr>
                <w:rFonts w:ascii="Arial" w:hAnsi="Arial" w:cs="Arial"/>
                <w:b/>
                <w:bCs/>
                <w:color w:val="1F3864" w:themeColor="accent1" w:themeShade="80"/>
                <w:sz w:val="20"/>
                <w:szCs w:val="20"/>
              </w:rPr>
            </w:pPr>
            <w:r w:rsidRPr="00FE72C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FE72C8" w:rsidRPr="00FE72C8" w14:paraId="0C51B380" w14:textId="77777777" w:rsidTr="00B679C8">
        <w:trPr>
          <w:trHeight w:val="735"/>
        </w:trPr>
        <w:tc>
          <w:tcPr>
            <w:tcW w:w="715" w:type="pct"/>
          </w:tcPr>
          <w:p w14:paraId="18CFDEE5" w14:textId="44B5C2A5" w:rsidR="00275785" w:rsidRPr="00FE72C8" w:rsidRDefault="00AE6B0D" w:rsidP="007C46C4">
            <w:pPr>
              <w:spacing w:after="200"/>
              <w:contextualSpacing/>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Increase challenge and attainment for the most able pupils and those with the potential to achieve Greater Depth Standard (GDS).</w:t>
            </w:r>
            <w:r w:rsidRPr="00FE72C8">
              <w:rPr>
                <w:rFonts w:ascii="Arial" w:hAnsi="Arial" w:cs="Arial"/>
                <w:b/>
                <w:bCs/>
                <w:color w:val="1F3864" w:themeColor="accent1" w:themeShade="80"/>
                <w:sz w:val="20"/>
                <w:szCs w:val="20"/>
              </w:rPr>
              <w:tab/>
            </w:r>
          </w:p>
        </w:tc>
        <w:tc>
          <w:tcPr>
            <w:tcW w:w="1117" w:type="pct"/>
            <w:gridSpan w:val="2"/>
          </w:tcPr>
          <w:p w14:paraId="07BE867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Create a targeted "potential GDS" register and review termly.</w:t>
            </w:r>
          </w:p>
          <w:p w14:paraId="458D1048"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Develop effective questioning strategies that promote reasoning, explanation, justification, inference and deeper thinking across the curriculum.</w:t>
            </w:r>
          </w:p>
          <w:p w14:paraId="26CEC0D3"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teachers plan regular opportunities for pupils to think critically, problem-solve, investigate and apply learning independently.</w:t>
            </w:r>
          </w:p>
          <w:p w14:paraId="6FECCE4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lastRenderedPageBreak/>
              <w:t>• Embed high-quality challenge within all lessons rather than relying on extension tasks.</w:t>
            </w:r>
          </w:p>
          <w:p w14:paraId="6AB2D435" w14:textId="77777777" w:rsidR="00AE6B0D" w:rsidRPr="00FE72C8" w:rsidRDefault="00AE6B0D" w:rsidP="00AE6B0D">
            <w:pPr>
              <w:rPr>
                <w:rFonts w:ascii="Arial" w:hAnsi="Arial" w:cs="Arial"/>
                <w:color w:val="1F3864" w:themeColor="accent1" w:themeShade="80"/>
                <w:sz w:val="20"/>
                <w:szCs w:val="20"/>
              </w:rPr>
            </w:pPr>
          </w:p>
          <w:p w14:paraId="6983E1AC"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undertake self-directed learning, research projects and enquiry-based activities which promote independence, curiosity and resilience.</w:t>
            </w:r>
          </w:p>
          <w:p w14:paraId="4D55739A"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Ensure middle-attaining pupils capable of achieving GDS are regularly identified, monitored and challenged appropriately.</w:t>
            </w:r>
          </w:p>
          <w:p w14:paraId="6813ACCD" w14:textId="77777777" w:rsidR="00AE6B0D"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Provide opportunities for pupils to demonstrate greater depth through speaking, writing, reasoning, collaboration and independent outcomes across the wider curriculum.</w:t>
            </w:r>
          </w:p>
          <w:p w14:paraId="0E89CD12" w14:textId="77777777" w:rsidR="00B6325B"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Share examples of effective challenge through coaching, planning scrutiny and pupil progress discussions.</w:t>
            </w:r>
            <w:r w:rsidRPr="00FE72C8">
              <w:rPr>
                <w:rFonts w:ascii="Arial" w:hAnsi="Arial" w:cs="Arial"/>
                <w:color w:val="1F3864" w:themeColor="accent1" w:themeShade="80"/>
                <w:sz w:val="20"/>
                <w:szCs w:val="20"/>
              </w:rPr>
              <w:tab/>
            </w:r>
          </w:p>
          <w:p w14:paraId="61250C39" w14:textId="299D31BC" w:rsidR="00275785" w:rsidRPr="00FE72C8" w:rsidRDefault="00AE6B0D" w:rsidP="00AE6B0D">
            <w:p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Increased proportion of pupils working at and achieving Greater Depth standards.</w:t>
            </w:r>
          </w:p>
        </w:tc>
        <w:tc>
          <w:tcPr>
            <w:tcW w:w="1487" w:type="pct"/>
            <w:gridSpan w:val="4"/>
          </w:tcPr>
          <w:p w14:paraId="0D605C1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Identified potential GDS pupils make accelerated progress towards end-of-year expectations.</w:t>
            </w:r>
          </w:p>
          <w:p w14:paraId="44BAB561" w14:textId="77777777" w:rsidR="00AE6B0D" w:rsidRPr="00FE72C8" w:rsidRDefault="00AE6B0D" w:rsidP="00AE6B0D">
            <w:pPr>
              <w:rPr>
                <w:rFonts w:ascii="Arial" w:hAnsi="Arial" w:cs="Arial"/>
                <w:bCs/>
                <w:color w:val="1F3864" w:themeColor="accent1" w:themeShade="80"/>
                <w:sz w:val="20"/>
                <w:szCs w:val="20"/>
              </w:rPr>
            </w:pPr>
          </w:p>
          <w:p w14:paraId="49CD12D8"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Pupils demonstrate increased independence, resilience and ownership of learning.</w:t>
            </w:r>
          </w:p>
          <w:p w14:paraId="5B58C2AE" w14:textId="77777777" w:rsidR="00AE6B0D" w:rsidRPr="00FE72C8" w:rsidRDefault="00AE6B0D" w:rsidP="00AE6B0D">
            <w:pPr>
              <w:rPr>
                <w:rFonts w:ascii="Arial" w:hAnsi="Arial" w:cs="Arial"/>
                <w:bCs/>
                <w:color w:val="1F3864" w:themeColor="accent1" w:themeShade="80"/>
                <w:sz w:val="20"/>
                <w:szCs w:val="20"/>
              </w:rPr>
            </w:pPr>
          </w:p>
          <w:p w14:paraId="773181B9"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Lesson observations and work scrutiny show consistent evidence of challenge for higher-attaining pupils.</w:t>
            </w:r>
          </w:p>
          <w:p w14:paraId="414A815B" w14:textId="77777777" w:rsidR="00AE6B0D" w:rsidRPr="00FE72C8" w:rsidRDefault="00AE6B0D" w:rsidP="00AE6B0D">
            <w:pPr>
              <w:rPr>
                <w:rFonts w:ascii="Arial" w:hAnsi="Arial" w:cs="Arial"/>
                <w:bCs/>
                <w:color w:val="1F3864" w:themeColor="accent1" w:themeShade="80"/>
                <w:sz w:val="20"/>
                <w:szCs w:val="20"/>
              </w:rPr>
            </w:pPr>
          </w:p>
          <w:p w14:paraId="6251504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 Pupils can explain, justify and reason about their learning with confidence.</w:t>
            </w:r>
          </w:p>
          <w:p w14:paraId="6482AEC7" w14:textId="77777777" w:rsidR="00AE6B0D" w:rsidRPr="00FE72C8" w:rsidRDefault="00AE6B0D" w:rsidP="00AE6B0D">
            <w:pPr>
              <w:rPr>
                <w:rFonts w:ascii="Arial" w:hAnsi="Arial" w:cs="Arial"/>
                <w:bCs/>
                <w:color w:val="1F3864" w:themeColor="accent1" w:themeShade="80"/>
                <w:sz w:val="20"/>
                <w:szCs w:val="20"/>
              </w:rPr>
            </w:pPr>
          </w:p>
          <w:p w14:paraId="0477FE75"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Teachers routinely adapt questioning and learning activities to deepen thinking and extend learning.</w:t>
            </w:r>
            <w:r w:rsidRPr="00FE72C8">
              <w:rPr>
                <w:rFonts w:ascii="Arial" w:hAnsi="Arial" w:cs="Arial"/>
                <w:bCs/>
                <w:color w:val="1F3864" w:themeColor="accent1" w:themeShade="80"/>
                <w:sz w:val="20"/>
                <w:szCs w:val="20"/>
              </w:rPr>
              <w:tab/>
              <w:t>• Termly analysis of assessment data, including NFER and practice papers.</w:t>
            </w:r>
          </w:p>
          <w:p w14:paraId="428B79A9" w14:textId="659872D3" w:rsidR="00275785" w:rsidRPr="00FE72C8" w:rsidRDefault="00275785" w:rsidP="00275785">
            <w:pPr>
              <w:rPr>
                <w:rFonts w:ascii="Arial" w:hAnsi="Arial" w:cs="Arial"/>
                <w:bCs/>
                <w:color w:val="1F3864" w:themeColor="accent1" w:themeShade="80"/>
                <w:sz w:val="20"/>
                <w:szCs w:val="20"/>
              </w:rPr>
            </w:pPr>
          </w:p>
        </w:tc>
        <w:tc>
          <w:tcPr>
            <w:tcW w:w="1057" w:type="pct"/>
            <w:gridSpan w:val="3"/>
          </w:tcPr>
          <w:p w14:paraId="40169076"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Pupil progress meetings.</w:t>
            </w:r>
          </w:p>
          <w:p w14:paraId="3CB0D8EE" w14:textId="77777777" w:rsidR="00AE6B0D" w:rsidRPr="00FE72C8" w:rsidRDefault="00AE6B0D" w:rsidP="00AE6B0D">
            <w:pPr>
              <w:rPr>
                <w:rFonts w:ascii="Arial" w:hAnsi="Arial" w:cs="Arial"/>
                <w:bCs/>
                <w:color w:val="1F3864" w:themeColor="accent1" w:themeShade="80"/>
                <w:sz w:val="20"/>
                <w:szCs w:val="20"/>
              </w:rPr>
            </w:pPr>
          </w:p>
          <w:p w14:paraId="677F0909"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Work scrutiny and book looks.</w:t>
            </w:r>
          </w:p>
          <w:p w14:paraId="0F8A91AA" w14:textId="77777777" w:rsidR="00AE6B0D" w:rsidRPr="00FE72C8" w:rsidRDefault="00AE6B0D" w:rsidP="00AE6B0D">
            <w:pPr>
              <w:rPr>
                <w:rFonts w:ascii="Arial" w:hAnsi="Arial" w:cs="Arial"/>
                <w:bCs/>
                <w:color w:val="1F3864" w:themeColor="accent1" w:themeShade="80"/>
                <w:sz w:val="20"/>
                <w:szCs w:val="20"/>
              </w:rPr>
            </w:pPr>
          </w:p>
          <w:p w14:paraId="5202CFBE"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Pupil voice.</w:t>
            </w:r>
          </w:p>
          <w:p w14:paraId="50E89393" w14:textId="77777777" w:rsidR="00AE6B0D" w:rsidRPr="00FE72C8" w:rsidRDefault="00AE6B0D" w:rsidP="00AE6B0D">
            <w:pPr>
              <w:rPr>
                <w:rFonts w:ascii="Arial" w:hAnsi="Arial" w:cs="Arial"/>
                <w:bCs/>
                <w:color w:val="1F3864" w:themeColor="accent1" w:themeShade="80"/>
                <w:sz w:val="20"/>
                <w:szCs w:val="20"/>
              </w:rPr>
            </w:pPr>
          </w:p>
          <w:p w14:paraId="0572494B" w14:textId="77777777" w:rsidR="00AE6B0D" w:rsidRPr="00FE72C8"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Learning walks and lesson observations.</w:t>
            </w:r>
          </w:p>
          <w:p w14:paraId="0C728263" w14:textId="77777777" w:rsidR="00AE6B0D" w:rsidRPr="00FE72C8" w:rsidRDefault="00AE6B0D" w:rsidP="00AE6B0D">
            <w:pPr>
              <w:rPr>
                <w:rFonts w:ascii="Arial" w:hAnsi="Arial" w:cs="Arial"/>
                <w:bCs/>
                <w:color w:val="1F3864" w:themeColor="accent1" w:themeShade="80"/>
                <w:sz w:val="20"/>
                <w:szCs w:val="20"/>
              </w:rPr>
            </w:pPr>
          </w:p>
          <w:p w14:paraId="644DD503" w14:textId="77777777" w:rsidR="00275785" w:rsidRDefault="00AE6B0D" w:rsidP="00AE6B0D">
            <w:p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lastRenderedPageBreak/>
              <w:t>• Monitoring of identified potential GDS pupils' attainment and progress.</w:t>
            </w:r>
          </w:p>
          <w:p w14:paraId="596EC364" w14:textId="211DEC8F" w:rsidR="00FE72C8" w:rsidRPr="00FE72C8" w:rsidRDefault="00FE72C8" w:rsidP="00AE6B0D">
            <w:pPr>
              <w:rPr>
                <w:rFonts w:ascii="Arial" w:hAnsi="Arial" w:cs="Arial"/>
                <w:bCs/>
                <w:color w:val="1F3864" w:themeColor="accent1" w:themeShade="80"/>
                <w:sz w:val="20"/>
                <w:szCs w:val="20"/>
              </w:rPr>
            </w:pPr>
            <w:r>
              <w:rPr>
                <w:rFonts w:ascii="Arial" w:hAnsi="Arial" w:cs="Arial"/>
                <w:bCs/>
                <w:color w:val="1F3864" w:themeColor="accent1" w:themeShade="80"/>
                <w:sz w:val="20"/>
                <w:szCs w:val="20"/>
              </w:rPr>
              <w:t>Pupil Progress meetings</w:t>
            </w:r>
          </w:p>
        </w:tc>
        <w:tc>
          <w:tcPr>
            <w:tcW w:w="446" w:type="pct"/>
          </w:tcPr>
          <w:p w14:paraId="094AB0B1" w14:textId="6007A8F7" w:rsidR="00275785" w:rsidRPr="00FE72C8" w:rsidRDefault="00275785" w:rsidP="00275785">
            <w:pPr>
              <w:rPr>
                <w:rFonts w:ascii="Arial" w:hAnsi="Arial" w:cs="Arial"/>
                <w:color w:val="1F3864" w:themeColor="accent1" w:themeShade="80"/>
                <w:sz w:val="20"/>
                <w:szCs w:val="20"/>
              </w:rPr>
            </w:pPr>
          </w:p>
        </w:tc>
        <w:tc>
          <w:tcPr>
            <w:tcW w:w="178" w:type="pct"/>
            <w:gridSpan w:val="2"/>
          </w:tcPr>
          <w:p w14:paraId="5B3655E8" w14:textId="77777777" w:rsidR="00275785" w:rsidRPr="00FE72C8" w:rsidRDefault="00275785" w:rsidP="00275785">
            <w:pPr>
              <w:rPr>
                <w:rFonts w:ascii="Arial" w:hAnsi="Arial" w:cs="Arial"/>
                <w:bCs/>
                <w:color w:val="1F3864" w:themeColor="accent1" w:themeShade="80"/>
                <w:sz w:val="20"/>
                <w:szCs w:val="20"/>
              </w:rPr>
            </w:pPr>
          </w:p>
          <w:p w14:paraId="33DC672F" w14:textId="77777777" w:rsidR="00275785" w:rsidRPr="00FE72C8" w:rsidRDefault="00275785" w:rsidP="00275785">
            <w:pPr>
              <w:rPr>
                <w:rFonts w:ascii="Arial" w:hAnsi="Arial" w:cs="Arial"/>
                <w:bCs/>
                <w:color w:val="1F3864" w:themeColor="accent1" w:themeShade="80"/>
                <w:sz w:val="20"/>
                <w:szCs w:val="20"/>
              </w:rPr>
            </w:pPr>
          </w:p>
          <w:p w14:paraId="2AF85C9C" w14:textId="77777777" w:rsidR="00275785" w:rsidRPr="00FE72C8" w:rsidRDefault="00275785" w:rsidP="00275785">
            <w:pPr>
              <w:rPr>
                <w:rFonts w:ascii="Arial" w:hAnsi="Arial" w:cs="Arial"/>
                <w:bCs/>
                <w:color w:val="1F3864" w:themeColor="accent1" w:themeShade="80"/>
                <w:sz w:val="20"/>
                <w:szCs w:val="20"/>
              </w:rPr>
            </w:pPr>
          </w:p>
          <w:p w14:paraId="11693638" w14:textId="2549D918" w:rsidR="00275785" w:rsidRPr="00FE72C8" w:rsidRDefault="00275785" w:rsidP="00275785">
            <w:pPr>
              <w:rPr>
                <w:rFonts w:ascii="Arial" w:hAnsi="Arial" w:cs="Arial"/>
                <w:bCs/>
                <w:color w:val="1F3864" w:themeColor="accent1" w:themeShade="80"/>
                <w:sz w:val="20"/>
                <w:szCs w:val="20"/>
              </w:rPr>
            </w:pPr>
          </w:p>
        </w:tc>
      </w:tr>
      <w:tr w:rsidR="00FE72C8" w:rsidRPr="00FE72C8" w14:paraId="01C9AA87" w14:textId="77777777" w:rsidTr="007C46C4">
        <w:trPr>
          <w:trHeight w:val="735"/>
        </w:trPr>
        <w:tc>
          <w:tcPr>
            <w:tcW w:w="5000" w:type="pct"/>
            <w:gridSpan w:val="13"/>
            <w:shd w:val="clear" w:color="auto" w:fill="DEEAF6" w:themeFill="accent5" w:themeFillTint="33"/>
          </w:tcPr>
          <w:p w14:paraId="2BA99A66" w14:textId="77777777" w:rsidR="00B679C8" w:rsidRPr="00B679C8" w:rsidRDefault="007C46C4" w:rsidP="00B679C8">
            <w:pPr>
              <w:spacing w:line="300" w:lineRule="atLeast"/>
              <w:jc w:val="center"/>
              <w:rPr>
                <w:rFonts w:ascii="Arial" w:hAnsi="Arial" w:cs="Arial"/>
                <w:b/>
                <w:bCs/>
                <w:color w:val="1F3864" w:themeColor="accent1" w:themeShade="80"/>
                <w:sz w:val="20"/>
                <w:szCs w:val="20"/>
                <w:lang w:eastAsia="en-GB"/>
              </w:rPr>
            </w:pPr>
            <w:r w:rsidRPr="00FE72C8">
              <w:rPr>
                <w:rFonts w:ascii="Arial" w:hAnsi="Arial" w:cs="Arial"/>
                <w:b/>
                <w:bCs/>
                <w:color w:val="1F3864" w:themeColor="accent1" w:themeShade="80"/>
                <w:sz w:val="20"/>
                <w:szCs w:val="20"/>
              </w:rPr>
              <w:t>Priority Target 5</w:t>
            </w:r>
            <w:r w:rsidR="00B679C8">
              <w:rPr>
                <w:rFonts w:ascii="Arial" w:hAnsi="Arial" w:cs="Arial"/>
                <w:b/>
                <w:bCs/>
                <w:color w:val="1F3864" w:themeColor="accent1" w:themeShade="80"/>
                <w:sz w:val="20"/>
                <w:szCs w:val="20"/>
              </w:rPr>
              <w:t xml:space="preserve">       </w:t>
            </w:r>
            <w:r w:rsidR="00B679C8" w:rsidRPr="00B679C8">
              <w:rPr>
                <w:rFonts w:ascii="Arial" w:hAnsi="Arial" w:cs="Arial"/>
                <w:b/>
                <w:bCs/>
                <w:color w:val="1F3864" w:themeColor="accent1" w:themeShade="80"/>
                <w:sz w:val="20"/>
                <w:szCs w:val="20"/>
                <w:lang w:eastAsia="en-GB"/>
              </w:rPr>
              <w:t>Strengthen the accuracy and consistency of teacher assessment across all subjects by refining and standardising assessment criteria to ensure accuracy, consistency and inform effective teaching.</w:t>
            </w:r>
          </w:p>
          <w:p w14:paraId="3BBDF76B" w14:textId="2494F3ED" w:rsidR="007C46C4" w:rsidRPr="00FE72C8" w:rsidRDefault="007C46C4" w:rsidP="00275785">
            <w:pPr>
              <w:rPr>
                <w:rFonts w:ascii="Arial" w:hAnsi="Arial" w:cs="Arial"/>
                <w:b/>
                <w:bCs/>
                <w:color w:val="1F3864" w:themeColor="accent1" w:themeShade="80"/>
                <w:sz w:val="20"/>
                <w:szCs w:val="20"/>
              </w:rPr>
            </w:pPr>
          </w:p>
        </w:tc>
      </w:tr>
      <w:tr w:rsidR="00B679C8" w:rsidRPr="00FE72C8" w14:paraId="66A7D44C" w14:textId="77777777" w:rsidTr="00B679C8">
        <w:trPr>
          <w:trHeight w:val="735"/>
        </w:trPr>
        <w:tc>
          <w:tcPr>
            <w:tcW w:w="715" w:type="pct"/>
            <w:vAlign w:val="center"/>
          </w:tcPr>
          <w:p w14:paraId="15334B9D" w14:textId="6BE87DDB" w:rsidR="0080582A" w:rsidRPr="0080582A" w:rsidRDefault="0080582A" w:rsidP="0080582A">
            <w:pPr>
              <w:spacing w:line="300" w:lineRule="atLeast"/>
              <w:rPr>
                <w:rFonts w:ascii="Segoe UI" w:hAnsi="Segoe UI" w:cs="Segoe UI"/>
                <w:sz w:val="21"/>
                <w:szCs w:val="21"/>
                <w:lang w:eastAsia="en-GB"/>
              </w:rPr>
            </w:pPr>
            <w:r w:rsidRPr="0080582A">
              <w:rPr>
                <w:rFonts w:ascii="Segoe UI" w:hAnsi="Segoe UI" w:cs="Segoe UI"/>
                <w:sz w:val="21"/>
                <w:szCs w:val="21"/>
                <w:lang w:eastAsia="en-GB"/>
              </w:rPr>
              <w:t xml:space="preserve">To improve the accuracy and consistency of teacher assessment in Art by developing and implementing clear, standardised assessment criteria and moderation processes, ensuring reliable judgements, effective use of assessment </w:t>
            </w:r>
            <w:r w:rsidRPr="0080582A">
              <w:rPr>
                <w:rFonts w:ascii="Segoe UI" w:hAnsi="Segoe UI" w:cs="Segoe UI"/>
                <w:sz w:val="21"/>
                <w:szCs w:val="21"/>
                <w:lang w:eastAsia="en-GB"/>
              </w:rPr>
              <w:lastRenderedPageBreak/>
              <w:t>information, and improved outcomes for pupils</w:t>
            </w:r>
            <w:r>
              <w:rPr>
                <w:rFonts w:ascii="Segoe UI" w:hAnsi="Segoe UI" w:cs="Segoe UI"/>
                <w:sz w:val="21"/>
                <w:szCs w:val="21"/>
                <w:lang w:eastAsia="en-GB"/>
              </w:rPr>
              <w:t>.</w:t>
            </w:r>
          </w:p>
          <w:p w14:paraId="0A2E8957" w14:textId="77777777" w:rsidR="00B679C8" w:rsidRDefault="00B679C8" w:rsidP="00B679C8">
            <w:pPr>
              <w:spacing w:after="200"/>
              <w:contextualSpacing/>
              <w:rPr>
                <w:rFonts w:ascii="Arial" w:hAnsi="Arial" w:cs="Arial"/>
                <w:color w:val="1F3864" w:themeColor="accent1" w:themeShade="80"/>
                <w:sz w:val="20"/>
                <w:szCs w:val="20"/>
              </w:rPr>
            </w:pPr>
          </w:p>
          <w:p w14:paraId="5745A45E" w14:textId="77777777" w:rsidR="00B679C8" w:rsidRDefault="00B679C8" w:rsidP="00B679C8">
            <w:pPr>
              <w:spacing w:after="200"/>
              <w:contextualSpacing/>
              <w:rPr>
                <w:rFonts w:ascii="Arial" w:hAnsi="Arial" w:cs="Arial"/>
                <w:color w:val="1F3864" w:themeColor="accent1" w:themeShade="80"/>
                <w:sz w:val="20"/>
                <w:szCs w:val="20"/>
              </w:rPr>
            </w:pPr>
          </w:p>
          <w:p w14:paraId="40A1824A" w14:textId="77777777" w:rsidR="00B679C8" w:rsidRDefault="00B679C8" w:rsidP="00B679C8">
            <w:pPr>
              <w:spacing w:after="200"/>
              <w:contextualSpacing/>
              <w:rPr>
                <w:rFonts w:ascii="Arial" w:hAnsi="Arial" w:cs="Arial"/>
                <w:color w:val="1F3864" w:themeColor="accent1" w:themeShade="80"/>
                <w:sz w:val="20"/>
                <w:szCs w:val="20"/>
              </w:rPr>
            </w:pPr>
          </w:p>
          <w:p w14:paraId="771EF116" w14:textId="77777777" w:rsidR="00B679C8" w:rsidRDefault="00B679C8" w:rsidP="00B679C8">
            <w:pPr>
              <w:spacing w:after="200"/>
              <w:contextualSpacing/>
              <w:rPr>
                <w:rFonts w:ascii="Arial" w:hAnsi="Arial" w:cs="Arial"/>
                <w:color w:val="1F3864" w:themeColor="accent1" w:themeShade="80"/>
                <w:sz w:val="20"/>
                <w:szCs w:val="20"/>
              </w:rPr>
            </w:pPr>
          </w:p>
          <w:p w14:paraId="09E1E084" w14:textId="77777777" w:rsidR="00B679C8" w:rsidRDefault="00B679C8" w:rsidP="00B679C8">
            <w:pPr>
              <w:spacing w:after="200"/>
              <w:contextualSpacing/>
              <w:rPr>
                <w:rFonts w:ascii="Arial" w:hAnsi="Arial" w:cs="Arial"/>
                <w:color w:val="1F3864" w:themeColor="accent1" w:themeShade="80"/>
                <w:sz w:val="20"/>
                <w:szCs w:val="20"/>
              </w:rPr>
            </w:pPr>
          </w:p>
          <w:p w14:paraId="6FE17A3B" w14:textId="77777777" w:rsidR="00B679C8" w:rsidRDefault="00B679C8" w:rsidP="00B679C8">
            <w:pPr>
              <w:spacing w:after="200"/>
              <w:contextualSpacing/>
              <w:rPr>
                <w:rFonts w:ascii="Arial" w:hAnsi="Arial" w:cs="Arial"/>
                <w:color w:val="1F3864" w:themeColor="accent1" w:themeShade="80"/>
                <w:sz w:val="20"/>
                <w:szCs w:val="20"/>
              </w:rPr>
            </w:pPr>
          </w:p>
          <w:p w14:paraId="01BACAC3" w14:textId="77777777" w:rsidR="00B679C8" w:rsidRDefault="00B679C8" w:rsidP="00B679C8">
            <w:pPr>
              <w:spacing w:after="200"/>
              <w:contextualSpacing/>
              <w:rPr>
                <w:rFonts w:ascii="Arial" w:hAnsi="Arial" w:cs="Arial"/>
                <w:color w:val="1F3864" w:themeColor="accent1" w:themeShade="80"/>
                <w:sz w:val="20"/>
                <w:szCs w:val="20"/>
              </w:rPr>
            </w:pPr>
          </w:p>
          <w:p w14:paraId="2D6DD0D9" w14:textId="77777777" w:rsidR="00B679C8" w:rsidRDefault="00B679C8" w:rsidP="00B679C8">
            <w:pPr>
              <w:spacing w:after="200"/>
              <w:contextualSpacing/>
              <w:rPr>
                <w:rFonts w:ascii="Arial" w:hAnsi="Arial" w:cs="Arial"/>
                <w:color w:val="1F3864" w:themeColor="accent1" w:themeShade="80"/>
                <w:sz w:val="20"/>
                <w:szCs w:val="20"/>
              </w:rPr>
            </w:pPr>
          </w:p>
          <w:p w14:paraId="231C1CA5" w14:textId="77777777" w:rsidR="00B679C8" w:rsidRDefault="00B679C8" w:rsidP="00B679C8">
            <w:pPr>
              <w:spacing w:after="200"/>
              <w:contextualSpacing/>
              <w:rPr>
                <w:rFonts w:ascii="Arial" w:hAnsi="Arial" w:cs="Arial"/>
                <w:color w:val="1F3864" w:themeColor="accent1" w:themeShade="80"/>
                <w:sz w:val="20"/>
                <w:szCs w:val="20"/>
              </w:rPr>
            </w:pPr>
          </w:p>
          <w:p w14:paraId="3BBE2E40" w14:textId="77777777" w:rsidR="00B679C8" w:rsidRDefault="00B679C8" w:rsidP="00B679C8">
            <w:pPr>
              <w:spacing w:after="200"/>
              <w:contextualSpacing/>
              <w:rPr>
                <w:rFonts w:ascii="Arial" w:hAnsi="Arial" w:cs="Arial"/>
                <w:color w:val="1F3864" w:themeColor="accent1" w:themeShade="80"/>
                <w:sz w:val="20"/>
                <w:szCs w:val="20"/>
              </w:rPr>
            </w:pPr>
          </w:p>
          <w:p w14:paraId="68C6F4B7" w14:textId="77777777" w:rsidR="00B679C8" w:rsidRDefault="00B679C8" w:rsidP="00B679C8">
            <w:pPr>
              <w:spacing w:after="200"/>
              <w:contextualSpacing/>
              <w:rPr>
                <w:rFonts w:ascii="Arial" w:hAnsi="Arial" w:cs="Arial"/>
                <w:color w:val="1F3864" w:themeColor="accent1" w:themeShade="80"/>
                <w:sz w:val="20"/>
                <w:szCs w:val="20"/>
              </w:rPr>
            </w:pPr>
          </w:p>
          <w:p w14:paraId="29942E21" w14:textId="77777777" w:rsidR="00B679C8" w:rsidRDefault="00B679C8" w:rsidP="00B679C8">
            <w:pPr>
              <w:spacing w:after="200"/>
              <w:contextualSpacing/>
              <w:rPr>
                <w:rFonts w:ascii="Arial" w:hAnsi="Arial" w:cs="Arial"/>
                <w:color w:val="1F3864" w:themeColor="accent1" w:themeShade="80"/>
                <w:sz w:val="20"/>
                <w:szCs w:val="20"/>
              </w:rPr>
            </w:pPr>
          </w:p>
          <w:p w14:paraId="2CD158EB" w14:textId="33A705BF" w:rsidR="00B679C8" w:rsidRPr="00B679C8" w:rsidRDefault="00B679C8" w:rsidP="00B679C8">
            <w:pPr>
              <w:spacing w:after="200"/>
              <w:contextualSpacing/>
              <w:rPr>
                <w:rFonts w:ascii="Arial" w:hAnsi="Arial" w:cs="Arial"/>
                <w:color w:val="1F3864" w:themeColor="accent1" w:themeShade="80"/>
                <w:sz w:val="20"/>
                <w:szCs w:val="20"/>
              </w:rPr>
            </w:pPr>
          </w:p>
        </w:tc>
        <w:tc>
          <w:tcPr>
            <w:tcW w:w="1117" w:type="pct"/>
            <w:gridSpan w:val="2"/>
            <w:vAlign w:val="center"/>
          </w:tcPr>
          <w:p w14:paraId="1D3C803D"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lastRenderedPageBreak/>
              <w:t></w:t>
            </w:r>
            <w:r>
              <w:rPr>
                <w:rFonts w:ascii="Segoe UI" w:hAnsi="Segoe UI" w:cs="Segoe UI"/>
                <w:sz w:val="21"/>
                <w:szCs w:val="21"/>
              </w:rPr>
              <w:t xml:space="preserve">  </w:t>
            </w:r>
            <w:r>
              <w:rPr>
                <w:rStyle w:val="Strong"/>
                <w:rFonts w:ascii="Segoe UI" w:hAnsi="Segoe UI" w:cs="Segoe UI"/>
                <w:sz w:val="21"/>
                <w:szCs w:val="21"/>
              </w:rPr>
              <w:t>Audit current Art assessment practices</w:t>
            </w:r>
            <w:r>
              <w:rPr>
                <w:rFonts w:ascii="Segoe UI" w:hAnsi="Segoe UI" w:cs="Segoe UI"/>
                <w:sz w:val="21"/>
                <w:szCs w:val="21"/>
              </w:rPr>
              <w:t xml:space="preserve"> across all year groups to identify strengths, gaps and inconsistencies.</w:t>
            </w:r>
          </w:p>
          <w:p w14:paraId="3510766F"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Review and refine Art assessment criteria</w:t>
            </w:r>
            <w:r>
              <w:rPr>
                <w:rFonts w:ascii="Segoe UI" w:hAnsi="Segoe UI" w:cs="Segoe UI"/>
                <w:sz w:val="21"/>
                <w:szCs w:val="21"/>
              </w:rPr>
              <w:t xml:space="preserve"> to ensure they are clearly linked to the curriculum progression and end-of-year expectations.</w:t>
            </w:r>
          </w:p>
          <w:p w14:paraId="539C44BC"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Develop a standardised assessment framework</w:t>
            </w:r>
            <w:r>
              <w:rPr>
                <w:rFonts w:ascii="Segoe UI" w:hAnsi="Segoe UI" w:cs="Segoe UI"/>
                <w:sz w:val="21"/>
                <w:szCs w:val="21"/>
              </w:rPr>
              <w:t xml:space="preserve"> that </w:t>
            </w:r>
            <w:r>
              <w:rPr>
                <w:rFonts w:ascii="Segoe UI" w:hAnsi="Segoe UI" w:cs="Segoe UI"/>
                <w:sz w:val="21"/>
                <w:szCs w:val="21"/>
              </w:rPr>
              <w:lastRenderedPageBreak/>
              <w:t>outlines clear success criteria for each year group and unit of work.</w:t>
            </w:r>
          </w:p>
          <w:p w14:paraId="2D05B3EB"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Create an Art assessment portfolio</w:t>
            </w:r>
            <w:r>
              <w:rPr>
                <w:rFonts w:ascii="Segoe UI" w:hAnsi="Segoe UI" w:cs="Segoe UI"/>
                <w:sz w:val="21"/>
                <w:szCs w:val="21"/>
              </w:rPr>
              <w:t xml:space="preserve"> containing exemplification materials to support accurate and consistent teacher judgements.</w:t>
            </w:r>
          </w:p>
          <w:p w14:paraId="4ED40D1F"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Lead staff training and professional development</w:t>
            </w:r>
            <w:r>
              <w:rPr>
                <w:rFonts w:ascii="Segoe UI" w:hAnsi="Segoe UI" w:cs="Segoe UI"/>
                <w:sz w:val="21"/>
                <w:szCs w:val="21"/>
              </w:rPr>
              <w:t xml:space="preserve"> on the revised assessment criteria and expectations.</w:t>
            </w:r>
          </w:p>
          <w:p w14:paraId="3808346E"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Implement termly moderation meetings</w:t>
            </w:r>
            <w:r>
              <w:rPr>
                <w:rFonts w:ascii="Segoe UI" w:hAnsi="Segoe UI" w:cs="Segoe UI"/>
                <w:sz w:val="21"/>
                <w:szCs w:val="21"/>
              </w:rPr>
              <w:t xml:space="preserve"> to compare and standardise teacher assessments across classes and year groups.</w:t>
            </w:r>
          </w:p>
          <w:p w14:paraId="2DD03575"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Monitor the quality and consistency of assessments</w:t>
            </w:r>
            <w:r>
              <w:rPr>
                <w:rFonts w:ascii="Segoe UI" w:hAnsi="Segoe UI" w:cs="Segoe UI"/>
                <w:sz w:val="21"/>
                <w:szCs w:val="21"/>
              </w:rPr>
              <w:t xml:space="preserve"> through work scrutiny, pupil voice and assessment reviews.</w:t>
            </w:r>
          </w:p>
          <w:p w14:paraId="279F86A6"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Use assessment outcomes to inform planning and teaching</w:t>
            </w:r>
            <w:r>
              <w:rPr>
                <w:rFonts w:ascii="Segoe UI" w:hAnsi="Segoe UI" w:cs="Segoe UI"/>
                <w:sz w:val="21"/>
                <w:szCs w:val="21"/>
              </w:rPr>
              <w:t>, ensuring gaps in knowledge and skills are identified and addressed promptly.</w:t>
            </w:r>
          </w:p>
          <w:p w14:paraId="2DFD4A2C" w14:textId="77777777" w:rsidR="0080582A" w:rsidRDefault="0080582A" w:rsidP="0080582A">
            <w:pPr>
              <w:pStyle w:val="NormalWeb"/>
              <w:spacing w:line="300" w:lineRule="atLeast"/>
              <w:rPr>
                <w:rFonts w:ascii="Segoe UI" w:hAnsi="Segoe UI" w:cs="Segoe UI"/>
                <w:sz w:val="21"/>
                <w:szCs w:val="21"/>
              </w:rPr>
            </w:pPr>
            <w:r>
              <w:rPr>
                <w:rFonts w:ascii="Segoe UI" w:hAnsi="Symbol" w:cs="Segoe UI"/>
                <w:sz w:val="21"/>
                <w:szCs w:val="21"/>
              </w:rPr>
              <w:t></w:t>
            </w:r>
            <w:r>
              <w:rPr>
                <w:rFonts w:ascii="Segoe UI" w:hAnsi="Segoe UI" w:cs="Segoe UI"/>
                <w:sz w:val="21"/>
                <w:szCs w:val="21"/>
              </w:rPr>
              <w:t xml:space="preserve">  </w:t>
            </w:r>
            <w:r>
              <w:rPr>
                <w:rStyle w:val="Strong"/>
                <w:rFonts w:ascii="Segoe UI" w:hAnsi="Segoe UI" w:cs="Segoe UI"/>
                <w:sz w:val="21"/>
                <w:szCs w:val="21"/>
              </w:rPr>
              <w:t>Evaluate the impact of the revised assessment procedures</w:t>
            </w:r>
            <w:r>
              <w:rPr>
                <w:rFonts w:ascii="Segoe UI" w:hAnsi="Segoe UI" w:cs="Segoe UI"/>
                <w:sz w:val="21"/>
                <w:szCs w:val="21"/>
              </w:rPr>
              <w:t xml:space="preserve"> and adapt systems where necessary to further improve reliability and effectiveness.</w:t>
            </w:r>
          </w:p>
          <w:p w14:paraId="764CFFEB" w14:textId="6A8B5775" w:rsidR="00B679C8" w:rsidRPr="00B679C8" w:rsidRDefault="00B679C8" w:rsidP="00B679C8">
            <w:pPr>
              <w:rPr>
                <w:rFonts w:ascii="Arial" w:hAnsi="Arial" w:cs="Arial"/>
                <w:color w:val="1F3864" w:themeColor="accent1" w:themeShade="80"/>
                <w:sz w:val="20"/>
                <w:szCs w:val="20"/>
              </w:rPr>
            </w:pPr>
          </w:p>
        </w:tc>
        <w:tc>
          <w:tcPr>
            <w:tcW w:w="1487" w:type="pct"/>
            <w:gridSpan w:val="4"/>
            <w:vAlign w:val="center"/>
          </w:tcPr>
          <w:p w14:paraId="60849052"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lastRenderedPageBreak/>
              <w:t></w:t>
            </w:r>
            <w:r w:rsidRPr="0080582A">
              <w:rPr>
                <w:rFonts w:ascii="Segoe UI" w:hAnsi="Segoe UI" w:cs="Segoe UI"/>
                <w:sz w:val="21"/>
                <w:szCs w:val="21"/>
                <w:lang w:eastAsia="en-GB"/>
              </w:rPr>
              <w:t xml:space="preserve">  A clear and progressive Art assessment framework is implemented across all year groups. </w:t>
            </w:r>
          </w:p>
          <w:p w14:paraId="58A1865C"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Teachers use agreed assessment criteria consistently when assessing pupils' work. </w:t>
            </w:r>
          </w:p>
          <w:p w14:paraId="47AC58D4"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Moderation activities demonstrate increased accuracy and consistency in assessment judgements. </w:t>
            </w:r>
          </w:p>
          <w:p w14:paraId="39D89BF3"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Staff report increased confidence in assessing Art and identifying next steps for learning. </w:t>
            </w:r>
          </w:p>
          <w:p w14:paraId="45E39870"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Assessment information is used effectively to inform planning and adapt teaching. </w:t>
            </w:r>
          </w:p>
          <w:p w14:paraId="475BCE63"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lastRenderedPageBreak/>
              <w:t></w:t>
            </w:r>
            <w:r w:rsidRPr="0080582A">
              <w:rPr>
                <w:rFonts w:ascii="Segoe UI" w:hAnsi="Segoe UI" w:cs="Segoe UI"/>
                <w:sz w:val="21"/>
                <w:szCs w:val="21"/>
                <w:lang w:eastAsia="en-GB"/>
              </w:rPr>
              <w:t xml:space="preserve">  Exemplification materials and portfolios of work are available to support assessment decisions. </w:t>
            </w:r>
          </w:p>
          <w:p w14:paraId="280993AB"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Work scrutiny shows assessment criteria are being applied consistently across classes. </w:t>
            </w:r>
          </w:p>
          <w:p w14:paraId="1272C996"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Pupil progress in Art is clearly evidenced through assessment records and outcomes. </w:t>
            </w:r>
          </w:p>
          <w:p w14:paraId="58AC3763"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Subject leader monitoring evidences improved consistency and reliability of teacher assessment across the school. </w:t>
            </w:r>
          </w:p>
          <w:p w14:paraId="61D5BE22"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Assessment outcomes support accurate reporting of pupils' attainment and progress in Art.</w:t>
            </w:r>
          </w:p>
          <w:p w14:paraId="70308969" w14:textId="7142D0C2" w:rsidR="00B679C8" w:rsidRDefault="00B679C8" w:rsidP="00B679C8">
            <w:pPr>
              <w:rPr>
                <w:rFonts w:ascii="Arial" w:hAnsi="Arial" w:cs="Arial"/>
                <w:color w:val="1F3864" w:themeColor="accent1" w:themeShade="80"/>
                <w:sz w:val="20"/>
                <w:szCs w:val="20"/>
              </w:rPr>
            </w:pPr>
          </w:p>
          <w:p w14:paraId="5AE6C2C0" w14:textId="77777777" w:rsidR="00B679C8" w:rsidRDefault="00B679C8" w:rsidP="00B679C8">
            <w:pPr>
              <w:rPr>
                <w:rFonts w:ascii="Arial" w:hAnsi="Arial" w:cs="Arial"/>
                <w:bCs/>
                <w:color w:val="1F3864" w:themeColor="accent1" w:themeShade="80"/>
                <w:sz w:val="20"/>
                <w:szCs w:val="20"/>
              </w:rPr>
            </w:pPr>
          </w:p>
          <w:p w14:paraId="22A057E2" w14:textId="77777777" w:rsidR="00B679C8" w:rsidRDefault="00B679C8" w:rsidP="00B679C8">
            <w:pPr>
              <w:rPr>
                <w:rFonts w:ascii="Arial" w:hAnsi="Arial" w:cs="Arial"/>
                <w:bCs/>
                <w:color w:val="1F3864" w:themeColor="accent1" w:themeShade="80"/>
                <w:sz w:val="20"/>
                <w:szCs w:val="20"/>
              </w:rPr>
            </w:pPr>
          </w:p>
          <w:p w14:paraId="5DA49C15" w14:textId="77777777" w:rsidR="00B679C8" w:rsidRDefault="00B679C8" w:rsidP="00B679C8">
            <w:pPr>
              <w:rPr>
                <w:rFonts w:ascii="Arial" w:hAnsi="Arial" w:cs="Arial"/>
                <w:bCs/>
                <w:color w:val="1F3864" w:themeColor="accent1" w:themeShade="80"/>
                <w:sz w:val="20"/>
                <w:szCs w:val="20"/>
              </w:rPr>
            </w:pPr>
          </w:p>
          <w:p w14:paraId="443B0959" w14:textId="77777777" w:rsidR="00B679C8" w:rsidRDefault="00B679C8" w:rsidP="00B679C8">
            <w:pPr>
              <w:rPr>
                <w:rFonts w:ascii="Arial" w:hAnsi="Arial" w:cs="Arial"/>
                <w:bCs/>
                <w:color w:val="1F3864" w:themeColor="accent1" w:themeShade="80"/>
                <w:sz w:val="20"/>
                <w:szCs w:val="20"/>
              </w:rPr>
            </w:pPr>
          </w:p>
          <w:p w14:paraId="359EEBB1" w14:textId="77777777" w:rsidR="00B679C8" w:rsidRDefault="00B679C8" w:rsidP="00B679C8">
            <w:pPr>
              <w:rPr>
                <w:rFonts w:ascii="Arial" w:hAnsi="Arial" w:cs="Arial"/>
                <w:bCs/>
                <w:color w:val="1F3864" w:themeColor="accent1" w:themeShade="80"/>
                <w:sz w:val="20"/>
                <w:szCs w:val="20"/>
              </w:rPr>
            </w:pPr>
          </w:p>
          <w:p w14:paraId="120563D7" w14:textId="77777777" w:rsidR="00B679C8" w:rsidRDefault="00B679C8" w:rsidP="00B679C8">
            <w:pPr>
              <w:rPr>
                <w:rFonts w:ascii="Arial" w:hAnsi="Arial" w:cs="Arial"/>
                <w:bCs/>
                <w:color w:val="1F3864" w:themeColor="accent1" w:themeShade="80"/>
                <w:sz w:val="20"/>
                <w:szCs w:val="20"/>
              </w:rPr>
            </w:pPr>
          </w:p>
          <w:p w14:paraId="24C4A77D" w14:textId="77777777" w:rsidR="00B679C8" w:rsidRDefault="00B679C8" w:rsidP="00B679C8">
            <w:pPr>
              <w:rPr>
                <w:rFonts w:ascii="Arial" w:hAnsi="Arial" w:cs="Arial"/>
                <w:bCs/>
                <w:color w:val="1F3864" w:themeColor="accent1" w:themeShade="80"/>
                <w:sz w:val="20"/>
                <w:szCs w:val="20"/>
              </w:rPr>
            </w:pPr>
          </w:p>
          <w:p w14:paraId="4B34B65F" w14:textId="77777777" w:rsidR="00B679C8" w:rsidRDefault="00B679C8" w:rsidP="00B679C8">
            <w:pPr>
              <w:rPr>
                <w:rFonts w:ascii="Arial" w:hAnsi="Arial" w:cs="Arial"/>
                <w:bCs/>
                <w:color w:val="1F3864" w:themeColor="accent1" w:themeShade="80"/>
                <w:sz w:val="20"/>
                <w:szCs w:val="20"/>
              </w:rPr>
            </w:pPr>
          </w:p>
          <w:p w14:paraId="3AE1E7C3" w14:textId="77777777" w:rsidR="00B679C8" w:rsidRDefault="00B679C8" w:rsidP="00B679C8">
            <w:pPr>
              <w:rPr>
                <w:rFonts w:ascii="Arial" w:hAnsi="Arial" w:cs="Arial"/>
                <w:bCs/>
                <w:color w:val="1F3864" w:themeColor="accent1" w:themeShade="80"/>
                <w:sz w:val="20"/>
                <w:szCs w:val="20"/>
              </w:rPr>
            </w:pPr>
          </w:p>
          <w:p w14:paraId="0302BE54" w14:textId="40453A7F" w:rsidR="00B679C8" w:rsidRPr="00B679C8" w:rsidRDefault="00B679C8" w:rsidP="00B679C8">
            <w:pPr>
              <w:rPr>
                <w:rFonts w:ascii="Arial" w:hAnsi="Arial" w:cs="Arial"/>
                <w:bCs/>
                <w:color w:val="1F3864" w:themeColor="accent1" w:themeShade="80"/>
                <w:sz w:val="20"/>
                <w:szCs w:val="20"/>
              </w:rPr>
            </w:pPr>
          </w:p>
        </w:tc>
        <w:tc>
          <w:tcPr>
            <w:tcW w:w="1057" w:type="pct"/>
            <w:gridSpan w:val="3"/>
            <w:vAlign w:val="center"/>
          </w:tcPr>
          <w:p w14:paraId="1E006FFA"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lastRenderedPageBreak/>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Termly work scrutiny</w:t>
            </w:r>
            <w:r w:rsidRPr="0080582A">
              <w:rPr>
                <w:rFonts w:ascii="Segoe UI" w:hAnsi="Segoe UI" w:cs="Segoe UI"/>
                <w:sz w:val="21"/>
                <w:szCs w:val="21"/>
                <w:lang w:eastAsia="en-GB"/>
              </w:rPr>
              <w:t xml:space="preserve"> to evaluate the quality of pupils’ artwork and the application of assessment criteria. </w:t>
            </w:r>
          </w:p>
          <w:p w14:paraId="11D48A43"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Termly moderation meetings</w:t>
            </w:r>
            <w:r w:rsidRPr="0080582A">
              <w:rPr>
                <w:rFonts w:ascii="Segoe UI" w:hAnsi="Segoe UI" w:cs="Segoe UI"/>
                <w:sz w:val="21"/>
                <w:szCs w:val="21"/>
                <w:lang w:eastAsia="en-GB"/>
              </w:rPr>
              <w:t xml:space="preserve"> with staff to compare and standardise assessment judgements across classes and year groups. </w:t>
            </w:r>
          </w:p>
          <w:p w14:paraId="21C8E7E9"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Assessment data reviews</w:t>
            </w:r>
            <w:r w:rsidRPr="0080582A">
              <w:rPr>
                <w:rFonts w:ascii="Segoe UI" w:hAnsi="Segoe UI" w:cs="Segoe UI"/>
                <w:sz w:val="21"/>
                <w:szCs w:val="21"/>
                <w:lang w:eastAsia="en-GB"/>
              </w:rPr>
              <w:t xml:space="preserve"> to monitor pupil attainment, progress and identify trends or gaps in learning. </w:t>
            </w:r>
          </w:p>
          <w:p w14:paraId="337598A2"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lastRenderedPageBreak/>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Planning scrutiny</w:t>
            </w:r>
            <w:r w:rsidRPr="0080582A">
              <w:rPr>
                <w:rFonts w:ascii="Segoe UI" w:hAnsi="Segoe UI" w:cs="Segoe UI"/>
                <w:sz w:val="21"/>
                <w:szCs w:val="21"/>
                <w:lang w:eastAsia="en-GB"/>
              </w:rPr>
              <w:t xml:space="preserve"> to ensure assessment information is being used to inform teaching and next steps. </w:t>
            </w:r>
          </w:p>
          <w:p w14:paraId="416D412A"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Pupil voice activities</w:t>
            </w:r>
            <w:r w:rsidRPr="0080582A">
              <w:rPr>
                <w:rFonts w:ascii="Segoe UI" w:hAnsi="Segoe UI" w:cs="Segoe UI"/>
                <w:sz w:val="21"/>
                <w:szCs w:val="21"/>
                <w:lang w:eastAsia="en-GB"/>
              </w:rPr>
              <w:t xml:space="preserve"> to gather feedback on learning, progression and engagement in Art. </w:t>
            </w:r>
          </w:p>
          <w:p w14:paraId="1769B895"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Staff voice questionnaires/discussions</w:t>
            </w:r>
            <w:r w:rsidRPr="0080582A">
              <w:rPr>
                <w:rFonts w:ascii="Segoe UI" w:hAnsi="Segoe UI" w:cs="Segoe UI"/>
                <w:sz w:val="21"/>
                <w:szCs w:val="21"/>
                <w:lang w:eastAsia="en-GB"/>
              </w:rPr>
              <w:t xml:space="preserve"> to evaluate confidence and consistency in using the assessment framework. </w:t>
            </w:r>
          </w:p>
          <w:p w14:paraId="4DDAFB2E"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Monitoring of assessment portfolios and exemplification materials</w:t>
            </w:r>
            <w:r w:rsidRPr="0080582A">
              <w:rPr>
                <w:rFonts w:ascii="Segoe UI" w:hAnsi="Segoe UI" w:cs="Segoe UI"/>
                <w:sz w:val="21"/>
                <w:szCs w:val="21"/>
                <w:lang w:eastAsia="en-GB"/>
              </w:rPr>
              <w:t xml:space="preserve"> to ensure standards are applied consistently. </w:t>
            </w:r>
          </w:p>
          <w:p w14:paraId="64E2DF63"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Subject leader reports</w:t>
            </w:r>
            <w:r w:rsidRPr="0080582A">
              <w:rPr>
                <w:rFonts w:ascii="Segoe UI" w:hAnsi="Segoe UI" w:cs="Segoe UI"/>
                <w:sz w:val="21"/>
                <w:szCs w:val="21"/>
                <w:lang w:eastAsia="en-GB"/>
              </w:rPr>
              <w:t xml:space="preserve"> to senior leaders and governors outlining progress against the target and areas for further development. </w:t>
            </w:r>
          </w:p>
          <w:p w14:paraId="6EA0C456" w14:textId="77777777" w:rsidR="0080582A" w:rsidRPr="0080582A" w:rsidRDefault="0080582A" w:rsidP="0080582A">
            <w:pPr>
              <w:spacing w:line="300" w:lineRule="atLeast"/>
              <w:rPr>
                <w:rFonts w:ascii="Segoe UI" w:hAnsi="Segoe UI" w:cs="Segoe UI"/>
                <w:sz w:val="21"/>
                <w:szCs w:val="21"/>
                <w:lang w:eastAsia="en-GB"/>
              </w:rPr>
            </w:pPr>
            <w:r w:rsidRPr="0080582A">
              <w:rPr>
                <w:rFonts w:ascii="Segoe UI" w:hAnsi="Symbol" w:cs="Segoe UI"/>
                <w:sz w:val="21"/>
                <w:szCs w:val="21"/>
                <w:lang w:eastAsia="en-GB"/>
              </w:rPr>
              <w:t></w:t>
            </w:r>
            <w:r w:rsidRPr="0080582A">
              <w:rPr>
                <w:rFonts w:ascii="Segoe UI" w:hAnsi="Segoe UI" w:cs="Segoe UI"/>
                <w:sz w:val="21"/>
                <w:szCs w:val="21"/>
                <w:lang w:eastAsia="en-GB"/>
              </w:rPr>
              <w:t xml:space="preserve">  </w:t>
            </w:r>
            <w:r w:rsidRPr="0080582A">
              <w:rPr>
                <w:rFonts w:ascii="Segoe UI" w:hAnsi="Segoe UI" w:cs="Segoe UI"/>
                <w:b/>
                <w:bCs/>
                <w:sz w:val="21"/>
                <w:szCs w:val="21"/>
                <w:lang w:eastAsia="en-GB"/>
              </w:rPr>
              <w:t>Annual review of the assessment framework</w:t>
            </w:r>
            <w:r w:rsidRPr="0080582A">
              <w:rPr>
                <w:rFonts w:ascii="Segoe UI" w:hAnsi="Segoe UI" w:cs="Segoe UI"/>
                <w:sz w:val="21"/>
                <w:szCs w:val="21"/>
                <w:lang w:eastAsia="en-GB"/>
              </w:rPr>
              <w:t xml:space="preserve"> to evaluate impact and make any necessary refinements.</w:t>
            </w:r>
          </w:p>
          <w:p w14:paraId="1CCAA27C" w14:textId="77777777" w:rsidR="00B679C8" w:rsidRDefault="00B679C8" w:rsidP="00B679C8">
            <w:pPr>
              <w:rPr>
                <w:rFonts w:ascii="Arial" w:hAnsi="Arial" w:cs="Arial"/>
                <w:bCs/>
                <w:color w:val="1F3864" w:themeColor="accent1" w:themeShade="80"/>
                <w:sz w:val="20"/>
                <w:szCs w:val="20"/>
              </w:rPr>
            </w:pPr>
          </w:p>
          <w:p w14:paraId="30C3D39B" w14:textId="77777777" w:rsidR="00B679C8" w:rsidRDefault="00B679C8" w:rsidP="00B679C8">
            <w:pPr>
              <w:rPr>
                <w:rFonts w:ascii="Arial" w:hAnsi="Arial" w:cs="Arial"/>
                <w:bCs/>
                <w:color w:val="1F3864" w:themeColor="accent1" w:themeShade="80"/>
                <w:sz w:val="20"/>
                <w:szCs w:val="20"/>
              </w:rPr>
            </w:pPr>
          </w:p>
          <w:p w14:paraId="1AA4FE61" w14:textId="77777777" w:rsidR="00B679C8" w:rsidRDefault="00B679C8" w:rsidP="00B679C8">
            <w:pPr>
              <w:rPr>
                <w:rFonts w:ascii="Arial" w:hAnsi="Arial" w:cs="Arial"/>
                <w:bCs/>
                <w:color w:val="1F3864" w:themeColor="accent1" w:themeShade="80"/>
                <w:sz w:val="20"/>
                <w:szCs w:val="20"/>
              </w:rPr>
            </w:pPr>
          </w:p>
          <w:p w14:paraId="3B48C0B0" w14:textId="77777777" w:rsidR="00B679C8" w:rsidRDefault="00B679C8" w:rsidP="00B679C8">
            <w:pPr>
              <w:rPr>
                <w:rFonts w:ascii="Arial" w:hAnsi="Arial" w:cs="Arial"/>
                <w:bCs/>
                <w:color w:val="1F3864" w:themeColor="accent1" w:themeShade="80"/>
                <w:sz w:val="20"/>
                <w:szCs w:val="20"/>
              </w:rPr>
            </w:pPr>
          </w:p>
          <w:p w14:paraId="4D3213CB" w14:textId="77777777" w:rsidR="00B679C8" w:rsidRDefault="00B679C8" w:rsidP="00B679C8">
            <w:pPr>
              <w:rPr>
                <w:rFonts w:ascii="Arial" w:hAnsi="Arial" w:cs="Arial"/>
                <w:bCs/>
                <w:color w:val="1F3864" w:themeColor="accent1" w:themeShade="80"/>
                <w:sz w:val="20"/>
                <w:szCs w:val="20"/>
              </w:rPr>
            </w:pPr>
          </w:p>
          <w:p w14:paraId="25B0DC57" w14:textId="77777777" w:rsidR="00B679C8" w:rsidRDefault="00B679C8" w:rsidP="00B679C8">
            <w:pPr>
              <w:rPr>
                <w:rFonts w:ascii="Arial" w:hAnsi="Arial" w:cs="Arial"/>
                <w:bCs/>
                <w:color w:val="1F3864" w:themeColor="accent1" w:themeShade="80"/>
                <w:sz w:val="20"/>
                <w:szCs w:val="20"/>
              </w:rPr>
            </w:pPr>
          </w:p>
          <w:p w14:paraId="180A6AE7" w14:textId="77777777" w:rsidR="00B679C8" w:rsidRDefault="00B679C8" w:rsidP="00B679C8">
            <w:pPr>
              <w:rPr>
                <w:rFonts w:ascii="Arial" w:hAnsi="Arial" w:cs="Arial"/>
                <w:bCs/>
                <w:color w:val="1F3864" w:themeColor="accent1" w:themeShade="80"/>
                <w:sz w:val="20"/>
                <w:szCs w:val="20"/>
              </w:rPr>
            </w:pPr>
          </w:p>
          <w:p w14:paraId="277C9E78" w14:textId="77777777" w:rsidR="00B679C8" w:rsidRDefault="00B679C8" w:rsidP="00B679C8">
            <w:pPr>
              <w:rPr>
                <w:rFonts w:ascii="Arial" w:hAnsi="Arial" w:cs="Arial"/>
                <w:bCs/>
                <w:color w:val="1F3864" w:themeColor="accent1" w:themeShade="80"/>
                <w:sz w:val="20"/>
                <w:szCs w:val="20"/>
              </w:rPr>
            </w:pPr>
          </w:p>
          <w:p w14:paraId="69EEBFB4" w14:textId="77777777" w:rsidR="00B679C8" w:rsidRDefault="00B679C8" w:rsidP="00B679C8">
            <w:pPr>
              <w:rPr>
                <w:rFonts w:ascii="Arial" w:hAnsi="Arial" w:cs="Arial"/>
                <w:bCs/>
                <w:color w:val="1F3864" w:themeColor="accent1" w:themeShade="80"/>
                <w:sz w:val="20"/>
                <w:szCs w:val="20"/>
              </w:rPr>
            </w:pPr>
          </w:p>
          <w:p w14:paraId="1B4C5BFC" w14:textId="72D82ACC" w:rsidR="00B679C8" w:rsidRPr="00B679C8" w:rsidRDefault="00B679C8" w:rsidP="00B679C8">
            <w:pPr>
              <w:rPr>
                <w:rFonts w:ascii="Arial" w:hAnsi="Arial" w:cs="Arial"/>
                <w:bCs/>
                <w:color w:val="1F3864" w:themeColor="accent1" w:themeShade="80"/>
                <w:sz w:val="20"/>
                <w:szCs w:val="20"/>
              </w:rPr>
            </w:pPr>
          </w:p>
        </w:tc>
        <w:tc>
          <w:tcPr>
            <w:tcW w:w="446" w:type="pct"/>
          </w:tcPr>
          <w:p w14:paraId="5B718041" w14:textId="77777777" w:rsidR="00B679C8" w:rsidRPr="00FE72C8" w:rsidRDefault="00B679C8" w:rsidP="00B679C8">
            <w:pPr>
              <w:rPr>
                <w:rFonts w:ascii="Arial" w:hAnsi="Arial" w:cs="Arial"/>
                <w:color w:val="1F3864" w:themeColor="accent1" w:themeShade="80"/>
                <w:sz w:val="20"/>
                <w:szCs w:val="20"/>
              </w:rPr>
            </w:pPr>
          </w:p>
        </w:tc>
        <w:tc>
          <w:tcPr>
            <w:tcW w:w="178" w:type="pct"/>
            <w:gridSpan w:val="2"/>
          </w:tcPr>
          <w:p w14:paraId="2C5226D0" w14:textId="77777777" w:rsidR="00B679C8" w:rsidRPr="00FE72C8" w:rsidRDefault="00B679C8" w:rsidP="00B679C8">
            <w:pPr>
              <w:rPr>
                <w:rFonts w:ascii="Arial" w:hAnsi="Arial" w:cs="Arial"/>
                <w:bCs/>
                <w:color w:val="1F3864" w:themeColor="accent1" w:themeShade="80"/>
                <w:sz w:val="20"/>
                <w:szCs w:val="20"/>
              </w:rPr>
            </w:pPr>
          </w:p>
        </w:tc>
      </w:tr>
      <w:tr w:rsidR="00FE72C8" w:rsidRPr="00FE72C8" w14:paraId="36A3B3A6" w14:textId="77777777" w:rsidTr="007C46C4">
        <w:trPr>
          <w:trHeight w:val="735"/>
        </w:trPr>
        <w:tc>
          <w:tcPr>
            <w:tcW w:w="5000" w:type="pct"/>
            <w:gridSpan w:val="13"/>
            <w:shd w:val="clear" w:color="auto" w:fill="DEEAF6" w:themeFill="accent5" w:themeFillTint="33"/>
          </w:tcPr>
          <w:p w14:paraId="05EB803F" w14:textId="0DFE9F1E" w:rsidR="007C46C4" w:rsidRPr="00FE72C8"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lastRenderedPageBreak/>
              <w:t>Priority Target 6</w:t>
            </w:r>
          </w:p>
        </w:tc>
      </w:tr>
      <w:tr w:rsidR="00FE72C8" w:rsidRPr="00FE72C8" w14:paraId="2B85007B" w14:textId="77777777" w:rsidTr="00B679C8">
        <w:trPr>
          <w:trHeight w:val="735"/>
        </w:trPr>
        <w:tc>
          <w:tcPr>
            <w:tcW w:w="715" w:type="pct"/>
          </w:tcPr>
          <w:p w14:paraId="59459232"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Develop and maintain a high-quality art gallery display area within school to celebrate children's artwork and enhance the visual profile of art across the curriculum.</w:t>
            </w:r>
          </w:p>
          <w:p w14:paraId="472D68EF" w14:textId="77777777" w:rsidR="007C46C4" w:rsidRPr="00B6325B" w:rsidRDefault="007C46C4" w:rsidP="00275785">
            <w:pPr>
              <w:spacing w:after="200"/>
              <w:contextualSpacing/>
              <w:rPr>
                <w:rFonts w:ascii="Arial" w:hAnsi="Arial" w:cs="Arial"/>
                <w:color w:val="1F3864" w:themeColor="accent1" w:themeShade="80"/>
                <w:sz w:val="20"/>
                <w:szCs w:val="20"/>
              </w:rPr>
            </w:pPr>
          </w:p>
        </w:tc>
        <w:tc>
          <w:tcPr>
            <w:tcW w:w="1117" w:type="pct"/>
            <w:gridSpan w:val="2"/>
          </w:tcPr>
          <w:p w14:paraId="2C78184A" w14:textId="06952190" w:rsidR="009522F5" w:rsidRPr="00B6325B"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Identify and agree a prominent location within school for a dedicated art gallery display. </w:t>
            </w:r>
          </w:p>
          <w:p w14:paraId="1D3CAA9B" w14:textId="1D00252F" w:rsidR="009522F5" w:rsidRPr="009522F5" w:rsidRDefault="009522F5" w:rsidP="009522F5">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Provide opportunities for vulnerable groups to showcase work including SEND,EAL and disadvantaged pupils. </w:t>
            </w:r>
          </w:p>
          <w:p w14:paraId="164895FE" w14:textId="44DAF1D8"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Audit </w:t>
            </w:r>
            <w:r w:rsidRPr="00B6325B">
              <w:rPr>
                <w:rFonts w:ascii="Arial" w:hAnsi="Arial" w:cs="Arial"/>
                <w:color w:val="1F3864" w:themeColor="accent1" w:themeShade="80"/>
                <w:sz w:val="20"/>
                <w:szCs w:val="20"/>
                <w:lang w:eastAsia="en-GB"/>
              </w:rPr>
              <w:t xml:space="preserve">Art </w:t>
            </w:r>
            <w:r w:rsidRPr="009522F5">
              <w:rPr>
                <w:rFonts w:ascii="Arial" w:hAnsi="Arial" w:cs="Arial"/>
                <w:color w:val="1F3864" w:themeColor="accent1" w:themeShade="80"/>
                <w:sz w:val="20"/>
                <w:szCs w:val="20"/>
                <w:lang w:eastAsia="en-GB"/>
              </w:rPr>
              <w:t xml:space="preserve">display spaces and determine any resources required (display boards, frames, labels, backing paper). </w:t>
            </w:r>
          </w:p>
          <w:p w14:paraId="79AEF335"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Establish clear expectations for the presentation of artwork, including mounting, labelling and display standards. </w:t>
            </w:r>
          </w:p>
          <w:p w14:paraId="47B53276"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Create a display timetable to ensure all year groups have opportunities to showcase high-quality artwork throughout the year. </w:t>
            </w:r>
          </w:p>
          <w:p w14:paraId="0D5DBC9A"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Provide staff with guidance on selecting work that demonstrates creativity, skill progression and curriculum coverage. </w:t>
            </w:r>
          </w:p>
          <w:p w14:paraId="60190A5A"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Introduce an "Artist of the Month" or featured artist section to celebrate individual achievements. </w:t>
            </w:r>
          </w:p>
          <w:p w14:paraId="3BAF178E"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Regularly update the gallery with work linked to current curriculum projects and enrichment activities. </w:t>
            </w:r>
          </w:p>
          <w:p w14:paraId="47277BE6"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Involve pupils in curating displays, writing artist statements and evaluating exhibited work. </w:t>
            </w:r>
          </w:p>
          <w:p w14:paraId="50C9142D"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Share gallery displays with parents and the wider community </w:t>
            </w:r>
            <w:r w:rsidRPr="009522F5">
              <w:rPr>
                <w:rFonts w:ascii="Arial" w:hAnsi="Arial" w:cs="Arial"/>
                <w:color w:val="1F3864" w:themeColor="accent1" w:themeShade="80"/>
                <w:sz w:val="20"/>
                <w:szCs w:val="20"/>
                <w:lang w:eastAsia="en-GB"/>
              </w:rPr>
              <w:lastRenderedPageBreak/>
              <w:t xml:space="preserve">through newsletters, the school website and social media. </w:t>
            </w:r>
          </w:p>
          <w:p w14:paraId="4D17D239"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Monitor the impact of the gallery through pupil voice, staff feedback and learning walks, making improvements where necessary.</w:t>
            </w:r>
          </w:p>
          <w:p w14:paraId="341F65C7" w14:textId="77777777" w:rsidR="007C46C4" w:rsidRPr="00B6325B" w:rsidRDefault="007C46C4" w:rsidP="00275785">
            <w:pPr>
              <w:rPr>
                <w:rFonts w:ascii="Arial" w:hAnsi="Arial" w:cs="Arial"/>
                <w:color w:val="1F3864" w:themeColor="accent1" w:themeShade="80"/>
                <w:sz w:val="20"/>
                <w:szCs w:val="20"/>
              </w:rPr>
            </w:pPr>
          </w:p>
        </w:tc>
        <w:tc>
          <w:tcPr>
            <w:tcW w:w="1487" w:type="pct"/>
            <w:gridSpan w:val="4"/>
          </w:tcPr>
          <w:p w14:paraId="2012C70E" w14:textId="02FC0E94"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lastRenderedPageBreak/>
              <w:t xml:space="preserve"> High-quality artwork from all year groups is displayed and updated at least termly. </w:t>
            </w:r>
          </w:p>
          <w:p w14:paraId="0B6B286D"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Displays are presented to a consistently high standard, with artwork mounted, labelled and celebrated professionally. </w:t>
            </w:r>
          </w:p>
          <w:p w14:paraId="28FA83E3" w14:textId="02D5492E"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Pupils can discuss their artwork confidently using appropriate artistic vocabulary. </w:t>
            </w:r>
          </w:p>
          <w:p w14:paraId="2DA26E56"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Pupil voice demonstrates increased enjoyment, pride and engagement in art. </w:t>
            </w:r>
          </w:p>
          <w:p w14:paraId="169AC54A" w14:textId="74A1B41A"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Learning walks show that art has a visible and valued presence throughout the school environment. </w:t>
            </w:r>
          </w:p>
          <w:p w14:paraId="4A8F5344"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Evidence from monitoring shows that all classes have contributed work to the gallery over the academic year. </w:t>
            </w:r>
          </w:p>
          <w:p w14:paraId="777A380F"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The gallery celebrates a range of artistic techniques, media and curriculum-linked outcomes. </w:t>
            </w:r>
          </w:p>
          <w:p w14:paraId="26C587EB"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Art's profile within the school has been raised, contributing to a culture that values creativity and achievement.</w:t>
            </w:r>
          </w:p>
          <w:p w14:paraId="33904BAD" w14:textId="77777777" w:rsidR="007C46C4" w:rsidRPr="00B6325B" w:rsidRDefault="007C46C4" w:rsidP="00275785">
            <w:pPr>
              <w:rPr>
                <w:rFonts w:ascii="Arial" w:hAnsi="Arial" w:cs="Arial"/>
                <w:bCs/>
                <w:color w:val="1F3864" w:themeColor="accent1" w:themeShade="80"/>
                <w:sz w:val="20"/>
                <w:szCs w:val="20"/>
              </w:rPr>
            </w:pPr>
          </w:p>
        </w:tc>
        <w:tc>
          <w:tcPr>
            <w:tcW w:w="1057" w:type="pct"/>
            <w:gridSpan w:val="3"/>
          </w:tcPr>
          <w:p w14:paraId="2788DC6F"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Termly learning walks</w:t>
            </w:r>
            <w:r w:rsidRPr="009522F5">
              <w:rPr>
                <w:rFonts w:ascii="Arial" w:hAnsi="Arial" w:cs="Arial"/>
                <w:color w:val="1F3864" w:themeColor="accent1" w:themeShade="80"/>
                <w:sz w:val="20"/>
                <w:szCs w:val="20"/>
                <w:lang w:eastAsia="en-GB"/>
              </w:rPr>
              <w:t xml:space="preserve"> to review the quality, presentation and impact of the gallery displays. </w:t>
            </w:r>
          </w:p>
          <w:p w14:paraId="487D64F1"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Display audits</w:t>
            </w:r>
            <w:r w:rsidRPr="009522F5">
              <w:rPr>
                <w:rFonts w:ascii="Arial" w:hAnsi="Arial" w:cs="Arial"/>
                <w:color w:val="1F3864" w:themeColor="accent1" w:themeShade="80"/>
                <w:sz w:val="20"/>
                <w:szCs w:val="20"/>
                <w:lang w:eastAsia="en-GB"/>
              </w:rPr>
              <w:t xml:space="preserve"> conducted each term to ensure all year groups are represented and displays are regularly refreshed. </w:t>
            </w:r>
          </w:p>
          <w:p w14:paraId="59B48E8D" w14:textId="1D79A53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Pupil voice surveys/interviews</w:t>
            </w:r>
            <w:r w:rsidRPr="009522F5">
              <w:rPr>
                <w:rFonts w:ascii="Arial" w:hAnsi="Arial" w:cs="Arial"/>
                <w:color w:val="1F3864" w:themeColor="accent1" w:themeShade="80"/>
                <w:sz w:val="20"/>
                <w:szCs w:val="20"/>
                <w:lang w:eastAsia="en-GB"/>
              </w:rPr>
              <w:t xml:space="preserve"> to evaluate children's engagement, pride and understanding of the artwork on display. </w:t>
            </w:r>
          </w:p>
          <w:p w14:paraId="7ECD9BB3"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Photographic evidence</w:t>
            </w:r>
            <w:r w:rsidRPr="009522F5">
              <w:rPr>
                <w:rFonts w:ascii="Arial" w:hAnsi="Arial" w:cs="Arial"/>
                <w:color w:val="1F3864" w:themeColor="accent1" w:themeShade="80"/>
                <w:sz w:val="20"/>
                <w:szCs w:val="20"/>
                <w:lang w:eastAsia="en-GB"/>
              </w:rPr>
              <w:t xml:space="preserve"> collected each term to document the development and maintenance of displays. </w:t>
            </w:r>
          </w:p>
          <w:p w14:paraId="30DB121F"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Monitoring of curriculum coverage</w:t>
            </w:r>
            <w:r w:rsidRPr="009522F5">
              <w:rPr>
                <w:rFonts w:ascii="Arial" w:hAnsi="Arial" w:cs="Arial"/>
                <w:color w:val="1F3864" w:themeColor="accent1" w:themeShade="80"/>
                <w:sz w:val="20"/>
                <w:szCs w:val="20"/>
                <w:lang w:eastAsia="en-GB"/>
              </w:rPr>
              <w:t xml:space="preserve"> through scrutiny of displayed work to ensure a range of artistic techniques, media and skills are represented. </w:t>
            </w:r>
          </w:p>
          <w:p w14:paraId="5F52FEE9"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Parent and visitor feedback</w:t>
            </w:r>
            <w:r w:rsidRPr="009522F5">
              <w:rPr>
                <w:rFonts w:ascii="Arial" w:hAnsi="Arial" w:cs="Arial"/>
                <w:color w:val="1F3864" w:themeColor="accent1" w:themeShade="80"/>
                <w:sz w:val="20"/>
                <w:szCs w:val="20"/>
                <w:lang w:eastAsia="en-GB"/>
              </w:rPr>
              <w:t xml:space="preserve"> gathered informally and through questionnaires where appropriate. </w:t>
            </w:r>
          </w:p>
          <w:p w14:paraId="0E0A0DB5" w14:textId="77777777" w:rsidR="009522F5" w:rsidRPr="009522F5" w:rsidRDefault="009522F5" w:rsidP="009522F5">
            <w:pPr>
              <w:spacing w:line="300" w:lineRule="atLeast"/>
              <w:rPr>
                <w:rFonts w:ascii="Arial" w:hAnsi="Arial" w:cs="Arial"/>
                <w:color w:val="1F3864" w:themeColor="accent1" w:themeShade="80"/>
                <w:sz w:val="20"/>
                <w:szCs w:val="20"/>
                <w:lang w:eastAsia="en-GB"/>
              </w:rPr>
            </w:pPr>
            <w:r w:rsidRPr="009522F5">
              <w:rPr>
                <w:rFonts w:ascii="Arial" w:hAnsi="Arial" w:cs="Arial"/>
                <w:color w:val="1F3864" w:themeColor="accent1" w:themeShade="80"/>
                <w:sz w:val="20"/>
                <w:szCs w:val="20"/>
                <w:lang w:eastAsia="en-GB"/>
              </w:rPr>
              <w:t xml:space="preserve">  </w:t>
            </w:r>
            <w:r w:rsidRPr="009522F5">
              <w:rPr>
                <w:rFonts w:ascii="Arial" w:hAnsi="Arial" w:cs="Arial"/>
                <w:b/>
                <w:bCs/>
                <w:color w:val="1F3864" w:themeColor="accent1" w:themeShade="80"/>
                <w:sz w:val="20"/>
                <w:szCs w:val="20"/>
                <w:lang w:eastAsia="en-GB"/>
              </w:rPr>
              <w:t>Subject leader reports</w:t>
            </w:r>
            <w:r w:rsidRPr="009522F5">
              <w:rPr>
                <w:rFonts w:ascii="Arial" w:hAnsi="Arial" w:cs="Arial"/>
                <w:color w:val="1F3864" w:themeColor="accent1" w:themeShade="80"/>
                <w:sz w:val="20"/>
                <w:szCs w:val="20"/>
                <w:lang w:eastAsia="en-GB"/>
              </w:rPr>
              <w:t xml:space="preserve"> to SLT/governors summarising progress, strengths and next steps.</w:t>
            </w:r>
          </w:p>
          <w:p w14:paraId="41B3F128" w14:textId="184AAAC6" w:rsidR="007C46C4" w:rsidRPr="00B6325B" w:rsidRDefault="007C46C4" w:rsidP="009522F5">
            <w:pPr>
              <w:rPr>
                <w:rFonts w:ascii="Arial" w:hAnsi="Arial" w:cs="Arial"/>
                <w:bCs/>
                <w:color w:val="1F3864" w:themeColor="accent1" w:themeShade="80"/>
                <w:sz w:val="20"/>
                <w:szCs w:val="20"/>
              </w:rPr>
            </w:pPr>
          </w:p>
        </w:tc>
        <w:tc>
          <w:tcPr>
            <w:tcW w:w="446" w:type="pct"/>
          </w:tcPr>
          <w:p w14:paraId="2F37660C" w14:textId="77777777" w:rsidR="007C46C4" w:rsidRPr="00FE72C8" w:rsidRDefault="007C46C4" w:rsidP="00275785">
            <w:pPr>
              <w:rPr>
                <w:rFonts w:ascii="Arial" w:hAnsi="Arial" w:cs="Arial"/>
                <w:color w:val="1F3864" w:themeColor="accent1" w:themeShade="80"/>
                <w:sz w:val="20"/>
                <w:szCs w:val="20"/>
              </w:rPr>
            </w:pPr>
          </w:p>
        </w:tc>
        <w:tc>
          <w:tcPr>
            <w:tcW w:w="178" w:type="pct"/>
            <w:gridSpan w:val="2"/>
          </w:tcPr>
          <w:p w14:paraId="7B529E04" w14:textId="77777777" w:rsidR="007C46C4" w:rsidRPr="00FE72C8" w:rsidRDefault="007C46C4" w:rsidP="00275785">
            <w:pPr>
              <w:rPr>
                <w:rFonts w:ascii="Arial" w:hAnsi="Arial" w:cs="Arial"/>
                <w:bCs/>
                <w:color w:val="1F3864" w:themeColor="accent1" w:themeShade="80"/>
                <w:sz w:val="20"/>
                <w:szCs w:val="20"/>
              </w:rPr>
            </w:pPr>
          </w:p>
        </w:tc>
      </w:tr>
      <w:tr w:rsidR="00FE72C8" w:rsidRPr="00FE72C8" w14:paraId="37CE465E" w14:textId="77777777" w:rsidTr="007C46C4">
        <w:trPr>
          <w:trHeight w:val="735"/>
        </w:trPr>
        <w:tc>
          <w:tcPr>
            <w:tcW w:w="5000" w:type="pct"/>
            <w:gridSpan w:val="13"/>
            <w:shd w:val="clear" w:color="auto" w:fill="DEEAF6" w:themeFill="accent5" w:themeFillTint="33"/>
          </w:tcPr>
          <w:p w14:paraId="17E7EF26" w14:textId="741B25E6" w:rsidR="007C46C4" w:rsidRPr="00FE72C8" w:rsidRDefault="007C46C4" w:rsidP="00275785">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 7</w:t>
            </w:r>
          </w:p>
        </w:tc>
      </w:tr>
      <w:tr w:rsidR="00FE72C8" w:rsidRPr="00FE72C8" w14:paraId="10C0C263" w14:textId="77777777" w:rsidTr="00B679C8">
        <w:trPr>
          <w:trHeight w:val="735"/>
        </w:trPr>
        <w:tc>
          <w:tcPr>
            <w:tcW w:w="715" w:type="pct"/>
          </w:tcPr>
          <w:p w14:paraId="6E206496" w14:textId="5924C04E"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To develop pupil leadership in art by establishing opportunities for children to take an active role in promoting, celebrating and contributing to the development of art across the school.</w:t>
            </w:r>
          </w:p>
          <w:p w14:paraId="65E053DB" w14:textId="77777777" w:rsidR="007C46C4" w:rsidRPr="00B6325B" w:rsidRDefault="007C46C4" w:rsidP="00275785">
            <w:pPr>
              <w:spacing w:after="200"/>
              <w:contextualSpacing/>
              <w:rPr>
                <w:rFonts w:ascii="Arial" w:hAnsi="Arial" w:cs="Arial"/>
                <w:color w:val="1F3864" w:themeColor="accent1" w:themeShade="80"/>
                <w:sz w:val="20"/>
                <w:szCs w:val="20"/>
              </w:rPr>
            </w:pPr>
          </w:p>
        </w:tc>
        <w:tc>
          <w:tcPr>
            <w:tcW w:w="1117" w:type="pct"/>
            <w:gridSpan w:val="2"/>
          </w:tcPr>
          <w:p w14:paraId="79A082ED"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Recruit and train a team of Art Ambassadors from across the school. </w:t>
            </w:r>
          </w:p>
          <w:p w14:paraId="1DCBC220"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Clearly define pupil leadership roles and responsibilities. </w:t>
            </w:r>
          </w:p>
          <w:p w14:paraId="2CE2FB33"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Involve Art Ambassadors in maintaining and curating the school art gallery. </w:t>
            </w:r>
          </w:p>
          <w:p w14:paraId="1ACBA880"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Provide opportunities for pupils to gather and share pupil voice about art provision. </w:t>
            </w:r>
          </w:p>
          <w:p w14:paraId="120BE93B"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Enable pupils to support and promote whole-school art events, competitions and celebrations. </w:t>
            </w:r>
          </w:p>
          <w:p w14:paraId="6DFF2EC8"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Involve pupils in selecting and displaying artwork for exhibitions. </w:t>
            </w:r>
          </w:p>
          <w:p w14:paraId="71B2B141"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Hold regular meetings with Art Ambassadors to discuss developments and ideas. </w:t>
            </w:r>
          </w:p>
          <w:p w14:paraId="6F46FB87"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Encourage pupils to lead assemblies, presentations or displays that celebrate art. </w:t>
            </w:r>
          </w:p>
          <w:p w14:paraId="112C600F"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Provide leadership opportunities through fundraising, community projects or collaborative art initiatives.</w:t>
            </w:r>
          </w:p>
          <w:p w14:paraId="69FDD671" w14:textId="77777777" w:rsidR="007C46C4" w:rsidRPr="00B6325B" w:rsidRDefault="007C46C4" w:rsidP="00275785">
            <w:pPr>
              <w:rPr>
                <w:rFonts w:ascii="Arial" w:hAnsi="Arial" w:cs="Arial"/>
                <w:color w:val="1F3864" w:themeColor="accent1" w:themeShade="80"/>
                <w:sz w:val="20"/>
                <w:szCs w:val="20"/>
              </w:rPr>
            </w:pPr>
          </w:p>
        </w:tc>
        <w:tc>
          <w:tcPr>
            <w:tcW w:w="1487" w:type="pct"/>
            <w:gridSpan w:val="4"/>
          </w:tcPr>
          <w:p w14:paraId="39263EF2"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An Art Ambassador team is established and meets regularly. </w:t>
            </w:r>
          </w:p>
          <w:p w14:paraId="0B49AB06"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Pupils can confidently articulate their role and its impact on the school community. </w:t>
            </w:r>
          </w:p>
          <w:p w14:paraId="2432C83E"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Art Ambassadors contribute to the organisation and maintenance of displays and exhibitions. </w:t>
            </w:r>
          </w:p>
          <w:p w14:paraId="4B38BBCE"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Pupil voice evidences increased involvement in decision-making related to art. </w:t>
            </w:r>
          </w:p>
          <w:p w14:paraId="5A899A09"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Art events and initiatives are increasingly led or supported by pupils. </w:t>
            </w:r>
          </w:p>
          <w:p w14:paraId="6BE7410E"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Children demonstrate greater ownership, enthusiasm and pride in art across the school. </w:t>
            </w:r>
          </w:p>
          <w:p w14:paraId="21B7A49B"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Leadership opportunities are available to pupils from a range of year groups. </w:t>
            </w:r>
          </w:p>
          <w:p w14:paraId="1D32A527"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Pupil-led contributions have a positive impact on the profile of art within the school.</w:t>
            </w:r>
          </w:p>
          <w:p w14:paraId="4A189DBE" w14:textId="77777777" w:rsidR="007C46C4" w:rsidRPr="00B6325B" w:rsidRDefault="007C46C4" w:rsidP="00275785">
            <w:pPr>
              <w:rPr>
                <w:rFonts w:ascii="Arial" w:hAnsi="Arial" w:cs="Arial"/>
                <w:bCs/>
                <w:color w:val="1F3864" w:themeColor="accent1" w:themeShade="80"/>
                <w:sz w:val="20"/>
                <w:szCs w:val="20"/>
              </w:rPr>
            </w:pPr>
          </w:p>
        </w:tc>
        <w:tc>
          <w:tcPr>
            <w:tcW w:w="1057" w:type="pct"/>
            <w:gridSpan w:val="3"/>
          </w:tcPr>
          <w:p w14:paraId="4348F3F1"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Termly meetings with Art Ambassadors. </w:t>
            </w:r>
          </w:p>
          <w:p w14:paraId="60C336F8"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Pupil voice surveys and interviews. </w:t>
            </w:r>
          </w:p>
          <w:p w14:paraId="3C20C0CE"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Monitoring of ambassador involvement in displays, events and projects. </w:t>
            </w:r>
          </w:p>
          <w:p w14:paraId="4F916A37"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Learning walks to assess the impact of pupil leadership on the profile of art. </w:t>
            </w:r>
          </w:p>
          <w:p w14:paraId="18A48F7B"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xml:space="preserve">  Review of meeting minutes, action plans and outcomes. </w:t>
            </w:r>
          </w:p>
          <w:p w14:paraId="7C2130CE" w14:textId="77777777" w:rsidR="00B6325B" w:rsidRPr="00B6325B" w:rsidRDefault="00B6325B" w:rsidP="00B6325B">
            <w:pPr>
              <w:spacing w:line="300" w:lineRule="atLeast"/>
              <w:rPr>
                <w:rFonts w:ascii="Arial" w:hAnsi="Arial" w:cs="Arial"/>
                <w:color w:val="1F3864" w:themeColor="accent1" w:themeShade="80"/>
                <w:sz w:val="20"/>
                <w:szCs w:val="20"/>
                <w:lang w:eastAsia="en-GB"/>
              </w:rPr>
            </w:pPr>
            <w:r w:rsidRPr="00B6325B">
              <w:rPr>
                <w:rFonts w:ascii="Arial" w:hAnsi="Arial" w:cs="Arial"/>
                <w:color w:val="1F3864" w:themeColor="accent1" w:themeShade="80"/>
                <w:sz w:val="20"/>
                <w:szCs w:val="20"/>
                <w:lang w:eastAsia="en-GB"/>
              </w:rPr>
              <w:t>  Subject leader reports to SLT summarising the impact of pupil leadership initiatives.</w:t>
            </w:r>
          </w:p>
          <w:p w14:paraId="2D68630F" w14:textId="77777777" w:rsidR="007C46C4" w:rsidRPr="00B6325B" w:rsidRDefault="007C46C4" w:rsidP="00275785">
            <w:pPr>
              <w:rPr>
                <w:rFonts w:ascii="Arial" w:hAnsi="Arial" w:cs="Arial"/>
                <w:bCs/>
                <w:color w:val="1F3864" w:themeColor="accent1" w:themeShade="80"/>
                <w:sz w:val="20"/>
                <w:szCs w:val="20"/>
              </w:rPr>
            </w:pPr>
          </w:p>
        </w:tc>
        <w:tc>
          <w:tcPr>
            <w:tcW w:w="446" w:type="pct"/>
          </w:tcPr>
          <w:p w14:paraId="18ACF28B" w14:textId="77777777" w:rsidR="007C46C4" w:rsidRPr="00FE72C8" w:rsidRDefault="007C46C4" w:rsidP="00275785">
            <w:pPr>
              <w:rPr>
                <w:rFonts w:ascii="Arial" w:hAnsi="Arial" w:cs="Arial"/>
                <w:color w:val="1F3864" w:themeColor="accent1" w:themeShade="80"/>
                <w:sz w:val="20"/>
                <w:szCs w:val="20"/>
              </w:rPr>
            </w:pPr>
          </w:p>
        </w:tc>
        <w:tc>
          <w:tcPr>
            <w:tcW w:w="178" w:type="pct"/>
            <w:gridSpan w:val="2"/>
          </w:tcPr>
          <w:p w14:paraId="3DE18BE6" w14:textId="77777777" w:rsidR="007C46C4" w:rsidRPr="00FE72C8" w:rsidRDefault="007C46C4" w:rsidP="00275785">
            <w:pPr>
              <w:rPr>
                <w:rFonts w:ascii="Arial" w:hAnsi="Arial" w:cs="Arial"/>
                <w:bCs/>
                <w:color w:val="1F3864" w:themeColor="accent1" w:themeShade="80"/>
                <w:sz w:val="20"/>
                <w:szCs w:val="20"/>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9"/>
  </w:num>
  <w:num w:numId="5">
    <w:abstractNumId w:val="4"/>
  </w:num>
  <w:num w:numId="6">
    <w:abstractNumId w:val="8"/>
  </w:num>
  <w:num w:numId="7">
    <w:abstractNumId w:val="7"/>
  </w:num>
  <w:num w:numId="8">
    <w:abstractNumId w:val="1"/>
  </w:num>
  <w:num w:numId="9">
    <w:abstractNumId w:val="11"/>
  </w:num>
  <w:num w:numId="10">
    <w:abstractNumId w:val="6"/>
  </w:num>
  <w:num w:numId="11">
    <w:abstractNumId w:val="0"/>
  </w:num>
  <w:num w:numId="12">
    <w:abstractNumId w:val="1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5EB2"/>
    <w:rsid w:val="00266AC3"/>
    <w:rsid w:val="00275785"/>
    <w:rsid w:val="00296120"/>
    <w:rsid w:val="00297DF1"/>
    <w:rsid w:val="002B4F84"/>
    <w:rsid w:val="002D0C6E"/>
    <w:rsid w:val="002D4914"/>
    <w:rsid w:val="002F0E7E"/>
    <w:rsid w:val="0030557B"/>
    <w:rsid w:val="00310B81"/>
    <w:rsid w:val="00334F3C"/>
    <w:rsid w:val="00336D11"/>
    <w:rsid w:val="0034570F"/>
    <w:rsid w:val="00347281"/>
    <w:rsid w:val="00352A42"/>
    <w:rsid w:val="00353C08"/>
    <w:rsid w:val="00357299"/>
    <w:rsid w:val="003742D5"/>
    <w:rsid w:val="003A4E07"/>
    <w:rsid w:val="003B4ED3"/>
    <w:rsid w:val="003B7ABA"/>
    <w:rsid w:val="003D697B"/>
    <w:rsid w:val="003F1232"/>
    <w:rsid w:val="003F2928"/>
    <w:rsid w:val="00410983"/>
    <w:rsid w:val="00432C82"/>
    <w:rsid w:val="00434575"/>
    <w:rsid w:val="00434EB7"/>
    <w:rsid w:val="00435671"/>
    <w:rsid w:val="00460698"/>
    <w:rsid w:val="004606FC"/>
    <w:rsid w:val="004627ED"/>
    <w:rsid w:val="00465CD8"/>
    <w:rsid w:val="00473A9B"/>
    <w:rsid w:val="00476E28"/>
    <w:rsid w:val="004A68A9"/>
    <w:rsid w:val="004A71A8"/>
    <w:rsid w:val="004E2B10"/>
    <w:rsid w:val="00510EE8"/>
    <w:rsid w:val="00521036"/>
    <w:rsid w:val="00531D86"/>
    <w:rsid w:val="00533FFE"/>
    <w:rsid w:val="00537380"/>
    <w:rsid w:val="00565FAE"/>
    <w:rsid w:val="00591E69"/>
    <w:rsid w:val="00596670"/>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E2B77"/>
    <w:rsid w:val="006F32F0"/>
    <w:rsid w:val="00706F29"/>
    <w:rsid w:val="00707E26"/>
    <w:rsid w:val="007126BA"/>
    <w:rsid w:val="00715C0D"/>
    <w:rsid w:val="0073459F"/>
    <w:rsid w:val="00737788"/>
    <w:rsid w:val="00782B6D"/>
    <w:rsid w:val="00795F3D"/>
    <w:rsid w:val="007B0674"/>
    <w:rsid w:val="007C3916"/>
    <w:rsid w:val="007C460C"/>
    <w:rsid w:val="007C46C4"/>
    <w:rsid w:val="007E147F"/>
    <w:rsid w:val="007E5575"/>
    <w:rsid w:val="008029DD"/>
    <w:rsid w:val="008050CF"/>
    <w:rsid w:val="0080582A"/>
    <w:rsid w:val="00805A03"/>
    <w:rsid w:val="008201A5"/>
    <w:rsid w:val="008313F5"/>
    <w:rsid w:val="00856BDB"/>
    <w:rsid w:val="008743D6"/>
    <w:rsid w:val="008A37BC"/>
    <w:rsid w:val="008B04A5"/>
    <w:rsid w:val="008D6CC0"/>
    <w:rsid w:val="008E02F0"/>
    <w:rsid w:val="008E18F8"/>
    <w:rsid w:val="009106E2"/>
    <w:rsid w:val="00921C1F"/>
    <w:rsid w:val="0092249C"/>
    <w:rsid w:val="00942468"/>
    <w:rsid w:val="009522F5"/>
    <w:rsid w:val="00972AF7"/>
    <w:rsid w:val="00980F54"/>
    <w:rsid w:val="009A1D99"/>
    <w:rsid w:val="009B76DB"/>
    <w:rsid w:val="009E3046"/>
    <w:rsid w:val="00A0145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CC"/>
    <w:rsid w:val="00AE6B0D"/>
    <w:rsid w:val="00AF28DD"/>
    <w:rsid w:val="00B45542"/>
    <w:rsid w:val="00B477ED"/>
    <w:rsid w:val="00B51B8E"/>
    <w:rsid w:val="00B612BB"/>
    <w:rsid w:val="00B6325B"/>
    <w:rsid w:val="00B679C8"/>
    <w:rsid w:val="00B84EDD"/>
    <w:rsid w:val="00B95C6D"/>
    <w:rsid w:val="00BA4AD6"/>
    <w:rsid w:val="00BB2AB4"/>
    <w:rsid w:val="00BD538D"/>
    <w:rsid w:val="00BE0530"/>
    <w:rsid w:val="00BE424D"/>
    <w:rsid w:val="00BF13BB"/>
    <w:rsid w:val="00C01D8B"/>
    <w:rsid w:val="00C12636"/>
    <w:rsid w:val="00C70875"/>
    <w:rsid w:val="00C7353B"/>
    <w:rsid w:val="00C81DBE"/>
    <w:rsid w:val="00CA649D"/>
    <w:rsid w:val="00CA77B0"/>
    <w:rsid w:val="00CB761D"/>
    <w:rsid w:val="00CD60F4"/>
    <w:rsid w:val="00CE5140"/>
    <w:rsid w:val="00CE7633"/>
    <w:rsid w:val="00CE7AF1"/>
    <w:rsid w:val="00D22BDD"/>
    <w:rsid w:val="00D87FB0"/>
    <w:rsid w:val="00DA2C3B"/>
    <w:rsid w:val="00DB06B3"/>
    <w:rsid w:val="00DC4096"/>
    <w:rsid w:val="00E003CE"/>
    <w:rsid w:val="00E04166"/>
    <w:rsid w:val="00E1637A"/>
    <w:rsid w:val="00E309E6"/>
    <w:rsid w:val="00E44EFE"/>
    <w:rsid w:val="00E537AC"/>
    <w:rsid w:val="00E60B88"/>
    <w:rsid w:val="00E825B5"/>
    <w:rsid w:val="00E95CB0"/>
    <w:rsid w:val="00E975A6"/>
    <w:rsid w:val="00EB0934"/>
    <w:rsid w:val="00EB3F39"/>
    <w:rsid w:val="00EB4CBC"/>
    <w:rsid w:val="00EB7D7E"/>
    <w:rsid w:val="00EC623D"/>
    <w:rsid w:val="00EE0348"/>
    <w:rsid w:val="00EE5442"/>
    <w:rsid w:val="00EF29A7"/>
    <w:rsid w:val="00F206F2"/>
    <w:rsid w:val="00F52EEE"/>
    <w:rsid w:val="00F56F83"/>
    <w:rsid w:val="00F874BA"/>
    <w:rsid w:val="00F90786"/>
    <w:rsid w:val="00F95EBA"/>
    <w:rsid w:val="00FB245C"/>
    <w:rsid w:val="00FC2764"/>
    <w:rsid w:val="00FD06E9"/>
    <w:rsid w:val="00FD23C7"/>
    <w:rsid w:val="00FE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80582A"/>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5474">
      <w:bodyDiv w:val="1"/>
      <w:marLeft w:val="0"/>
      <w:marRight w:val="0"/>
      <w:marTop w:val="0"/>
      <w:marBottom w:val="0"/>
      <w:divBdr>
        <w:top w:val="none" w:sz="0" w:space="0" w:color="auto"/>
        <w:left w:val="none" w:sz="0" w:space="0" w:color="auto"/>
        <w:bottom w:val="none" w:sz="0" w:space="0" w:color="auto"/>
        <w:right w:val="none" w:sz="0" w:space="0" w:color="auto"/>
      </w:divBdr>
      <w:divsChild>
        <w:div w:id="492913482">
          <w:marLeft w:val="0"/>
          <w:marRight w:val="0"/>
          <w:marTop w:val="0"/>
          <w:marBottom w:val="0"/>
          <w:divBdr>
            <w:top w:val="none" w:sz="0" w:space="0" w:color="auto"/>
            <w:left w:val="none" w:sz="0" w:space="0" w:color="auto"/>
            <w:bottom w:val="none" w:sz="0" w:space="0" w:color="auto"/>
            <w:right w:val="none" w:sz="0" w:space="0" w:color="auto"/>
          </w:divBdr>
        </w:div>
      </w:divsChild>
    </w:div>
    <w:div w:id="70009392">
      <w:bodyDiv w:val="1"/>
      <w:marLeft w:val="0"/>
      <w:marRight w:val="0"/>
      <w:marTop w:val="0"/>
      <w:marBottom w:val="0"/>
      <w:divBdr>
        <w:top w:val="none" w:sz="0" w:space="0" w:color="auto"/>
        <w:left w:val="none" w:sz="0" w:space="0" w:color="auto"/>
        <w:bottom w:val="none" w:sz="0" w:space="0" w:color="auto"/>
        <w:right w:val="none" w:sz="0" w:space="0" w:color="auto"/>
      </w:divBdr>
      <w:divsChild>
        <w:div w:id="313872790">
          <w:marLeft w:val="0"/>
          <w:marRight w:val="0"/>
          <w:marTop w:val="0"/>
          <w:marBottom w:val="0"/>
          <w:divBdr>
            <w:top w:val="none" w:sz="0" w:space="0" w:color="auto"/>
            <w:left w:val="none" w:sz="0" w:space="0" w:color="auto"/>
            <w:bottom w:val="none" w:sz="0" w:space="0" w:color="auto"/>
            <w:right w:val="none" w:sz="0" w:space="0" w:color="auto"/>
          </w:divBdr>
        </w:div>
      </w:divsChild>
    </w:div>
    <w:div w:id="476456385">
      <w:bodyDiv w:val="1"/>
      <w:marLeft w:val="0"/>
      <w:marRight w:val="0"/>
      <w:marTop w:val="0"/>
      <w:marBottom w:val="0"/>
      <w:divBdr>
        <w:top w:val="none" w:sz="0" w:space="0" w:color="auto"/>
        <w:left w:val="none" w:sz="0" w:space="0" w:color="auto"/>
        <w:bottom w:val="none" w:sz="0" w:space="0" w:color="auto"/>
        <w:right w:val="none" w:sz="0" w:space="0" w:color="auto"/>
      </w:divBdr>
      <w:divsChild>
        <w:div w:id="1180897318">
          <w:marLeft w:val="0"/>
          <w:marRight w:val="0"/>
          <w:marTop w:val="0"/>
          <w:marBottom w:val="0"/>
          <w:divBdr>
            <w:top w:val="none" w:sz="0" w:space="0" w:color="auto"/>
            <w:left w:val="none" w:sz="0" w:space="0" w:color="auto"/>
            <w:bottom w:val="none" w:sz="0" w:space="0" w:color="auto"/>
            <w:right w:val="none" w:sz="0" w:space="0" w:color="auto"/>
          </w:divBdr>
        </w:div>
      </w:divsChild>
    </w:div>
    <w:div w:id="917709048">
      <w:bodyDiv w:val="1"/>
      <w:marLeft w:val="0"/>
      <w:marRight w:val="0"/>
      <w:marTop w:val="0"/>
      <w:marBottom w:val="0"/>
      <w:divBdr>
        <w:top w:val="none" w:sz="0" w:space="0" w:color="auto"/>
        <w:left w:val="none" w:sz="0" w:space="0" w:color="auto"/>
        <w:bottom w:val="none" w:sz="0" w:space="0" w:color="auto"/>
        <w:right w:val="none" w:sz="0" w:space="0" w:color="auto"/>
      </w:divBdr>
      <w:divsChild>
        <w:div w:id="1870411351">
          <w:marLeft w:val="0"/>
          <w:marRight w:val="0"/>
          <w:marTop w:val="0"/>
          <w:marBottom w:val="0"/>
          <w:divBdr>
            <w:top w:val="none" w:sz="0" w:space="0" w:color="auto"/>
            <w:left w:val="none" w:sz="0" w:space="0" w:color="auto"/>
            <w:bottom w:val="none" w:sz="0" w:space="0" w:color="auto"/>
            <w:right w:val="none" w:sz="0" w:space="0" w:color="auto"/>
          </w:divBdr>
        </w:div>
      </w:divsChild>
    </w:div>
    <w:div w:id="949360357">
      <w:bodyDiv w:val="1"/>
      <w:marLeft w:val="0"/>
      <w:marRight w:val="0"/>
      <w:marTop w:val="0"/>
      <w:marBottom w:val="0"/>
      <w:divBdr>
        <w:top w:val="none" w:sz="0" w:space="0" w:color="auto"/>
        <w:left w:val="none" w:sz="0" w:space="0" w:color="auto"/>
        <w:bottom w:val="none" w:sz="0" w:space="0" w:color="auto"/>
        <w:right w:val="none" w:sz="0" w:space="0" w:color="auto"/>
      </w:divBdr>
      <w:divsChild>
        <w:div w:id="1458337525">
          <w:marLeft w:val="0"/>
          <w:marRight w:val="0"/>
          <w:marTop w:val="0"/>
          <w:marBottom w:val="0"/>
          <w:divBdr>
            <w:top w:val="none" w:sz="0" w:space="0" w:color="auto"/>
            <w:left w:val="none" w:sz="0" w:space="0" w:color="auto"/>
            <w:bottom w:val="none" w:sz="0" w:space="0" w:color="auto"/>
            <w:right w:val="none" w:sz="0" w:space="0" w:color="auto"/>
          </w:divBdr>
        </w:div>
      </w:divsChild>
    </w:div>
    <w:div w:id="1040515076">
      <w:bodyDiv w:val="1"/>
      <w:marLeft w:val="0"/>
      <w:marRight w:val="0"/>
      <w:marTop w:val="0"/>
      <w:marBottom w:val="0"/>
      <w:divBdr>
        <w:top w:val="none" w:sz="0" w:space="0" w:color="auto"/>
        <w:left w:val="none" w:sz="0" w:space="0" w:color="auto"/>
        <w:bottom w:val="none" w:sz="0" w:space="0" w:color="auto"/>
        <w:right w:val="none" w:sz="0" w:space="0" w:color="auto"/>
      </w:divBdr>
      <w:divsChild>
        <w:div w:id="451443796">
          <w:marLeft w:val="0"/>
          <w:marRight w:val="0"/>
          <w:marTop w:val="0"/>
          <w:marBottom w:val="0"/>
          <w:divBdr>
            <w:top w:val="none" w:sz="0" w:space="0" w:color="auto"/>
            <w:left w:val="none" w:sz="0" w:space="0" w:color="auto"/>
            <w:bottom w:val="none" w:sz="0" w:space="0" w:color="auto"/>
            <w:right w:val="none" w:sz="0" w:space="0" w:color="auto"/>
          </w:divBdr>
        </w:div>
      </w:divsChild>
    </w:div>
    <w:div w:id="1211109889">
      <w:bodyDiv w:val="1"/>
      <w:marLeft w:val="0"/>
      <w:marRight w:val="0"/>
      <w:marTop w:val="0"/>
      <w:marBottom w:val="0"/>
      <w:divBdr>
        <w:top w:val="none" w:sz="0" w:space="0" w:color="auto"/>
        <w:left w:val="none" w:sz="0" w:space="0" w:color="auto"/>
        <w:bottom w:val="none" w:sz="0" w:space="0" w:color="auto"/>
        <w:right w:val="none" w:sz="0" w:space="0" w:color="auto"/>
      </w:divBdr>
      <w:divsChild>
        <w:div w:id="1720931115">
          <w:marLeft w:val="0"/>
          <w:marRight w:val="0"/>
          <w:marTop w:val="0"/>
          <w:marBottom w:val="0"/>
          <w:divBdr>
            <w:top w:val="none" w:sz="0" w:space="0" w:color="auto"/>
            <w:left w:val="none" w:sz="0" w:space="0" w:color="auto"/>
            <w:bottom w:val="none" w:sz="0" w:space="0" w:color="auto"/>
            <w:right w:val="none" w:sz="0" w:space="0" w:color="auto"/>
          </w:divBdr>
        </w:div>
      </w:divsChild>
    </w:div>
    <w:div w:id="1339115613">
      <w:bodyDiv w:val="1"/>
      <w:marLeft w:val="0"/>
      <w:marRight w:val="0"/>
      <w:marTop w:val="0"/>
      <w:marBottom w:val="0"/>
      <w:divBdr>
        <w:top w:val="none" w:sz="0" w:space="0" w:color="auto"/>
        <w:left w:val="none" w:sz="0" w:space="0" w:color="auto"/>
        <w:bottom w:val="none" w:sz="0" w:space="0" w:color="auto"/>
        <w:right w:val="none" w:sz="0" w:space="0" w:color="auto"/>
      </w:divBdr>
      <w:divsChild>
        <w:div w:id="181821862">
          <w:marLeft w:val="0"/>
          <w:marRight w:val="0"/>
          <w:marTop w:val="0"/>
          <w:marBottom w:val="0"/>
          <w:divBdr>
            <w:top w:val="none" w:sz="0" w:space="0" w:color="auto"/>
            <w:left w:val="none" w:sz="0" w:space="0" w:color="auto"/>
            <w:bottom w:val="none" w:sz="0" w:space="0" w:color="auto"/>
            <w:right w:val="none" w:sz="0" w:space="0" w:color="auto"/>
          </w:divBdr>
        </w:div>
      </w:divsChild>
    </w:div>
    <w:div w:id="1357729277">
      <w:bodyDiv w:val="1"/>
      <w:marLeft w:val="0"/>
      <w:marRight w:val="0"/>
      <w:marTop w:val="0"/>
      <w:marBottom w:val="0"/>
      <w:divBdr>
        <w:top w:val="none" w:sz="0" w:space="0" w:color="auto"/>
        <w:left w:val="none" w:sz="0" w:space="0" w:color="auto"/>
        <w:bottom w:val="none" w:sz="0" w:space="0" w:color="auto"/>
        <w:right w:val="none" w:sz="0" w:space="0" w:color="auto"/>
      </w:divBdr>
      <w:divsChild>
        <w:div w:id="954947439">
          <w:marLeft w:val="0"/>
          <w:marRight w:val="0"/>
          <w:marTop w:val="0"/>
          <w:marBottom w:val="0"/>
          <w:divBdr>
            <w:top w:val="none" w:sz="0" w:space="0" w:color="auto"/>
            <w:left w:val="none" w:sz="0" w:space="0" w:color="auto"/>
            <w:bottom w:val="none" w:sz="0" w:space="0" w:color="auto"/>
            <w:right w:val="none" w:sz="0" w:space="0" w:color="auto"/>
          </w:divBdr>
        </w:div>
      </w:divsChild>
    </w:div>
    <w:div w:id="1405908143">
      <w:bodyDiv w:val="1"/>
      <w:marLeft w:val="0"/>
      <w:marRight w:val="0"/>
      <w:marTop w:val="0"/>
      <w:marBottom w:val="0"/>
      <w:divBdr>
        <w:top w:val="none" w:sz="0" w:space="0" w:color="auto"/>
        <w:left w:val="none" w:sz="0" w:space="0" w:color="auto"/>
        <w:bottom w:val="none" w:sz="0" w:space="0" w:color="auto"/>
        <w:right w:val="none" w:sz="0" w:space="0" w:color="auto"/>
      </w:divBdr>
      <w:divsChild>
        <w:div w:id="485511719">
          <w:marLeft w:val="0"/>
          <w:marRight w:val="0"/>
          <w:marTop w:val="0"/>
          <w:marBottom w:val="0"/>
          <w:divBdr>
            <w:top w:val="none" w:sz="0" w:space="0" w:color="auto"/>
            <w:left w:val="none" w:sz="0" w:space="0" w:color="auto"/>
            <w:bottom w:val="none" w:sz="0" w:space="0" w:color="auto"/>
            <w:right w:val="none" w:sz="0" w:space="0" w:color="auto"/>
          </w:divBdr>
        </w:div>
      </w:divsChild>
    </w:div>
    <w:div w:id="1646157123">
      <w:bodyDiv w:val="1"/>
      <w:marLeft w:val="0"/>
      <w:marRight w:val="0"/>
      <w:marTop w:val="0"/>
      <w:marBottom w:val="0"/>
      <w:divBdr>
        <w:top w:val="none" w:sz="0" w:space="0" w:color="auto"/>
        <w:left w:val="none" w:sz="0" w:space="0" w:color="auto"/>
        <w:bottom w:val="none" w:sz="0" w:space="0" w:color="auto"/>
        <w:right w:val="none" w:sz="0" w:space="0" w:color="auto"/>
      </w:divBdr>
      <w:divsChild>
        <w:div w:id="1294750905">
          <w:marLeft w:val="0"/>
          <w:marRight w:val="0"/>
          <w:marTop w:val="0"/>
          <w:marBottom w:val="0"/>
          <w:divBdr>
            <w:top w:val="none" w:sz="0" w:space="0" w:color="auto"/>
            <w:left w:val="none" w:sz="0" w:space="0" w:color="auto"/>
            <w:bottom w:val="none" w:sz="0" w:space="0" w:color="auto"/>
            <w:right w:val="none" w:sz="0" w:space="0" w:color="auto"/>
          </w:divBdr>
        </w:div>
      </w:divsChild>
    </w:div>
    <w:div w:id="1735465354">
      <w:bodyDiv w:val="1"/>
      <w:marLeft w:val="0"/>
      <w:marRight w:val="0"/>
      <w:marTop w:val="0"/>
      <w:marBottom w:val="0"/>
      <w:divBdr>
        <w:top w:val="none" w:sz="0" w:space="0" w:color="auto"/>
        <w:left w:val="none" w:sz="0" w:space="0" w:color="auto"/>
        <w:bottom w:val="none" w:sz="0" w:space="0" w:color="auto"/>
        <w:right w:val="none" w:sz="0" w:space="0" w:color="auto"/>
      </w:divBdr>
      <w:divsChild>
        <w:div w:id="1571310186">
          <w:marLeft w:val="0"/>
          <w:marRight w:val="0"/>
          <w:marTop w:val="0"/>
          <w:marBottom w:val="0"/>
          <w:divBdr>
            <w:top w:val="none" w:sz="0" w:space="0" w:color="auto"/>
            <w:left w:val="none" w:sz="0" w:space="0" w:color="auto"/>
            <w:bottom w:val="none" w:sz="0" w:space="0" w:color="auto"/>
            <w:right w:val="none" w:sz="0" w:space="0" w:color="auto"/>
          </w:divBdr>
        </w:div>
      </w:divsChild>
    </w:div>
    <w:div w:id="1969511666">
      <w:bodyDiv w:val="1"/>
      <w:marLeft w:val="0"/>
      <w:marRight w:val="0"/>
      <w:marTop w:val="0"/>
      <w:marBottom w:val="0"/>
      <w:divBdr>
        <w:top w:val="none" w:sz="0" w:space="0" w:color="auto"/>
        <w:left w:val="none" w:sz="0" w:space="0" w:color="auto"/>
        <w:bottom w:val="none" w:sz="0" w:space="0" w:color="auto"/>
        <w:right w:val="none" w:sz="0" w:space="0" w:color="auto"/>
      </w:divBdr>
      <w:divsChild>
        <w:div w:id="326594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2344</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Phillipa Houghton</cp:lastModifiedBy>
  <cp:revision>3</cp:revision>
  <cp:lastPrinted>2026-09-16T07:31:00Z</cp:lastPrinted>
  <dcterms:created xsi:type="dcterms:W3CDTF">2026-09-22T09:09:00Z</dcterms:created>
  <dcterms:modified xsi:type="dcterms:W3CDTF">2026-09-22T09:14:00Z</dcterms:modified>
</cp:coreProperties>
</file>