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874D7" w14:textId="77777777" w:rsidR="00310B81" w:rsidRPr="00FE72C8" w:rsidRDefault="00021915" w:rsidP="00310B81">
      <w:pPr>
        <w:rPr>
          <w:rFonts w:ascii="Arial" w:hAnsi="Arial" w:cs="Arial"/>
          <w:color w:val="1F3864" w:themeColor="accent1" w:themeShade="80"/>
          <w:sz w:val="20"/>
          <w:szCs w:val="20"/>
        </w:rPr>
      </w:pPr>
      <w:r w:rsidRPr="00FE72C8">
        <w:rPr>
          <w:rFonts w:ascii="Arial" w:hAnsi="Arial" w:cs="Arial"/>
          <w:b/>
          <w:noProof/>
          <w:color w:val="1F3864" w:themeColor="accent1" w:themeShade="80"/>
          <w:sz w:val="20"/>
          <w:szCs w:val="20"/>
        </w:rPr>
        <w:drawing>
          <wp:anchor distT="0" distB="0" distL="114300" distR="114300" simplePos="0" relativeHeight="251659264" behindDoc="1" locked="0" layoutInCell="1" allowOverlap="1" wp14:anchorId="54D4ABCB" wp14:editId="1A91D3C3">
            <wp:simplePos x="0" y="0"/>
            <wp:positionH relativeFrom="margin">
              <wp:align>left</wp:align>
            </wp:positionH>
            <wp:positionV relativeFrom="paragraph">
              <wp:posOffset>9525</wp:posOffset>
            </wp:positionV>
            <wp:extent cx="1093470" cy="847725"/>
            <wp:effectExtent l="0" t="0" r="0" b="0"/>
            <wp:wrapTight wrapText="bothSides">
              <wp:wrapPolygon edited="0">
                <wp:start x="0" y="0"/>
                <wp:lineTo x="0" y="20872"/>
                <wp:lineTo x="21073" y="20872"/>
                <wp:lineTo x="21073" y="0"/>
                <wp:lineTo x="0" y="0"/>
              </wp:wrapPolygon>
            </wp:wrapTight>
            <wp:docPr id="3" name="Picture 7">
              <a:extLst xmlns:a="http://schemas.openxmlformats.org/drawingml/2006/main">
                <a:ext uri="{FF2B5EF4-FFF2-40B4-BE49-F238E27FC236}">
                  <a16:creationId xmlns:a16="http://schemas.microsoft.com/office/drawing/2014/main" id="{3B6B3DAD-7807-4A83-8B59-47CE44F734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B6B3DAD-7807-4A83-8B59-47CE44F73418}"/>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94552" cy="848144"/>
                    </a:xfrm>
                    <a:prstGeom prst="rect">
                      <a:avLst/>
                    </a:prstGeom>
                  </pic:spPr>
                </pic:pic>
              </a:graphicData>
            </a:graphic>
            <wp14:sizeRelH relativeFrom="margin">
              <wp14:pctWidth>0</wp14:pctWidth>
            </wp14:sizeRelH>
            <wp14:sizeRelV relativeFrom="margin">
              <wp14:pctHeight>0</wp14:pctHeight>
            </wp14:sizeRelV>
          </wp:anchor>
        </w:drawing>
      </w:r>
    </w:p>
    <w:p w14:paraId="1E374D1A" w14:textId="66814F33" w:rsidR="00310B81" w:rsidRDefault="00310B81" w:rsidP="00F874BA">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 xml:space="preserve">St Philip’s Primary School Action Plan </w:t>
      </w:r>
      <w:r w:rsidR="00C7353B" w:rsidRPr="00FE72C8">
        <w:rPr>
          <w:rFonts w:ascii="Arial" w:hAnsi="Arial" w:cs="Arial"/>
          <w:b/>
          <w:bCs/>
          <w:color w:val="1F3864" w:themeColor="accent1" w:themeShade="80"/>
          <w:sz w:val="20"/>
          <w:szCs w:val="20"/>
        </w:rPr>
        <w:t xml:space="preserve">2026 </w:t>
      </w:r>
      <w:r w:rsidR="00B6325B">
        <w:rPr>
          <w:rFonts w:ascii="Arial" w:hAnsi="Arial" w:cs="Arial"/>
          <w:b/>
          <w:bCs/>
          <w:color w:val="1F3864" w:themeColor="accent1" w:themeShade="80"/>
          <w:sz w:val="20"/>
          <w:szCs w:val="20"/>
        </w:rPr>
        <w:t>–</w:t>
      </w:r>
      <w:r w:rsidR="00C7353B" w:rsidRPr="00FE72C8">
        <w:rPr>
          <w:rFonts w:ascii="Arial" w:hAnsi="Arial" w:cs="Arial"/>
          <w:b/>
          <w:bCs/>
          <w:color w:val="1F3864" w:themeColor="accent1" w:themeShade="80"/>
          <w:sz w:val="20"/>
          <w:szCs w:val="20"/>
        </w:rPr>
        <w:t xml:space="preserve"> 2027</w:t>
      </w:r>
    </w:p>
    <w:p w14:paraId="76813267" w14:textId="77777777" w:rsidR="00B6325B" w:rsidRPr="00FE72C8" w:rsidRDefault="00B6325B" w:rsidP="00F874BA">
      <w:pPr>
        <w:jc w:val="center"/>
        <w:rPr>
          <w:rFonts w:ascii="Arial" w:hAnsi="Arial" w:cs="Arial"/>
          <w:b/>
          <w:bCs/>
          <w:color w:val="1F3864" w:themeColor="accent1" w:themeShade="80"/>
          <w:sz w:val="20"/>
          <w:szCs w:val="20"/>
        </w:rPr>
      </w:pPr>
    </w:p>
    <w:p w14:paraId="4A958EA0" w14:textId="59572F7B" w:rsidR="00310B81" w:rsidRPr="00FE72C8" w:rsidRDefault="00310B81" w:rsidP="00F874BA">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xml:space="preserve">Subject Area:     </w:t>
      </w:r>
      <w:r w:rsidR="00715C0D" w:rsidRPr="00FE72C8">
        <w:rPr>
          <w:rFonts w:ascii="Arial" w:hAnsi="Arial" w:cs="Arial"/>
          <w:color w:val="1F3864" w:themeColor="accent1" w:themeShade="80"/>
          <w:sz w:val="20"/>
          <w:szCs w:val="20"/>
        </w:rPr>
        <w:t xml:space="preserve"> </w:t>
      </w:r>
      <w:r w:rsidRPr="00FE72C8">
        <w:rPr>
          <w:rFonts w:ascii="Arial" w:hAnsi="Arial" w:cs="Arial"/>
          <w:color w:val="1F3864" w:themeColor="accent1" w:themeShade="80"/>
          <w:sz w:val="20"/>
          <w:szCs w:val="20"/>
        </w:rPr>
        <w:t xml:space="preserve">   </w:t>
      </w:r>
      <w:r w:rsidR="00A06F97">
        <w:rPr>
          <w:rFonts w:ascii="Arial" w:hAnsi="Arial" w:cs="Arial"/>
          <w:color w:val="1F3864" w:themeColor="accent1" w:themeShade="80"/>
          <w:sz w:val="20"/>
          <w:szCs w:val="20"/>
        </w:rPr>
        <w:t>Early Years</w:t>
      </w:r>
      <w:r w:rsidRPr="00FE72C8">
        <w:rPr>
          <w:rFonts w:ascii="Arial" w:hAnsi="Arial" w:cs="Arial"/>
          <w:color w:val="1F3864" w:themeColor="accent1" w:themeShade="80"/>
          <w:sz w:val="20"/>
          <w:szCs w:val="20"/>
        </w:rPr>
        <w:t xml:space="preserve">              Leader: </w:t>
      </w:r>
      <w:r w:rsidR="009522F5">
        <w:rPr>
          <w:rFonts w:ascii="Arial" w:hAnsi="Arial" w:cs="Arial"/>
          <w:color w:val="1F3864" w:themeColor="accent1" w:themeShade="80"/>
          <w:sz w:val="20"/>
          <w:szCs w:val="20"/>
        </w:rPr>
        <w:t xml:space="preserve">Pippa Houghton </w:t>
      </w:r>
    </w:p>
    <w:p w14:paraId="668D6218" w14:textId="77777777" w:rsidR="00310B81" w:rsidRPr="00FE72C8" w:rsidRDefault="00310B81" w:rsidP="00310B81">
      <w:pPr>
        <w:rPr>
          <w:rFonts w:ascii="Arial" w:hAnsi="Arial" w:cs="Arial"/>
          <w:color w:val="1F3864" w:themeColor="accent1" w:themeShade="80"/>
          <w:sz w:val="20"/>
          <w:szCs w:val="20"/>
        </w:rPr>
      </w:pPr>
    </w:p>
    <w:p w14:paraId="58F927FB" w14:textId="6775AA77" w:rsidR="00021915" w:rsidRPr="00FE72C8" w:rsidRDefault="00021915" w:rsidP="00310B81">
      <w:pPr>
        <w:rPr>
          <w:rFonts w:ascii="Arial" w:hAnsi="Arial" w:cs="Arial"/>
          <w:color w:val="1F3864" w:themeColor="accent1" w:themeShade="80"/>
          <w:sz w:val="20"/>
          <w:szCs w:val="20"/>
        </w:rPr>
      </w:pPr>
    </w:p>
    <w:p w14:paraId="28199423" w14:textId="7854D4AF" w:rsidR="007C46C4" w:rsidRPr="00FE72C8" w:rsidRDefault="007C46C4" w:rsidP="00310B81">
      <w:pPr>
        <w:rPr>
          <w:rFonts w:ascii="Arial" w:hAnsi="Arial" w:cs="Arial"/>
          <w:color w:val="1F3864" w:themeColor="accent1" w:themeShade="80"/>
          <w:sz w:val="20"/>
          <w:szCs w:val="20"/>
        </w:rPr>
      </w:pPr>
    </w:p>
    <w:p w14:paraId="697032D6" w14:textId="77777777" w:rsidR="007C46C4" w:rsidRPr="00FE72C8" w:rsidRDefault="007C46C4" w:rsidP="00310B81">
      <w:pPr>
        <w:rPr>
          <w:rFonts w:ascii="Arial" w:hAnsi="Arial" w:cs="Arial"/>
          <w:color w:val="1F3864" w:themeColor="accent1" w:themeShade="80"/>
          <w:sz w:val="20"/>
          <w:szCs w:val="20"/>
        </w:rPr>
      </w:pPr>
    </w:p>
    <w:tbl>
      <w:tblPr>
        <w:tblW w:w="515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1"/>
        <w:gridCol w:w="3392"/>
        <w:gridCol w:w="156"/>
        <w:gridCol w:w="25"/>
        <w:gridCol w:w="540"/>
        <w:gridCol w:w="4080"/>
        <w:gridCol w:w="76"/>
        <w:gridCol w:w="165"/>
        <w:gridCol w:w="495"/>
        <w:gridCol w:w="2696"/>
        <w:gridCol w:w="1416"/>
        <w:gridCol w:w="57"/>
        <w:gridCol w:w="508"/>
      </w:tblGrid>
      <w:tr w:rsidR="00FE72C8" w:rsidRPr="00FE72C8" w14:paraId="468D72CF" w14:textId="77777777" w:rsidTr="007C46C4">
        <w:trPr>
          <w:cantSplit/>
        </w:trPr>
        <w:tc>
          <w:tcPr>
            <w:tcW w:w="2010" w:type="pct"/>
            <w:gridSpan w:val="5"/>
          </w:tcPr>
          <w:p w14:paraId="09830E1C" w14:textId="77777777" w:rsidR="007C46C4" w:rsidRPr="00FE72C8" w:rsidRDefault="007C46C4" w:rsidP="0034570F">
            <w:pPr>
              <w:pStyle w:val="ListParagraph"/>
              <w:rPr>
                <w:rFonts w:ascii="Arial" w:hAnsi="Arial" w:cs="Arial"/>
                <w:b/>
                <w:bCs/>
                <w:color w:val="1F3864" w:themeColor="accent1" w:themeShade="80"/>
                <w:sz w:val="20"/>
                <w:szCs w:val="20"/>
              </w:rPr>
            </w:pPr>
          </w:p>
          <w:p w14:paraId="697FAC49" w14:textId="650EF2BC" w:rsidR="007C46C4" w:rsidRPr="00FE72C8" w:rsidRDefault="007C46C4" w:rsidP="0034570F">
            <w:pPr>
              <w:pStyle w:val="ListParagraph"/>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Consider when writing your plan…</w:t>
            </w:r>
          </w:p>
          <w:p w14:paraId="62016022" w14:textId="77777777" w:rsidR="007C46C4" w:rsidRPr="00FE72C8" w:rsidRDefault="007C46C4" w:rsidP="00420E79">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Quality of Provision</w:t>
            </w:r>
          </w:p>
          <w:p w14:paraId="69D1DC9A" w14:textId="77777777" w:rsidR="007C46C4" w:rsidRPr="00FE72C8" w:rsidRDefault="007C46C4" w:rsidP="00420E79">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Curriculum design, coverage, appropriateness</w:t>
            </w:r>
          </w:p>
          <w:p w14:paraId="3309017F" w14:textId="77777777" w:rsidR="007C46C4" w:rsidRPr="00FE72C8" w:rsidRDefault="007C46C4" w:rsidP="0034570F">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Curriculum delivery, teaching and assessment,</w:t>
            </w:r>
          </w:p>
          <w:p w14:paraId="7B8B4125" w14:textId="77777777" w:rsidR="007C46C4" w:rsidRPr="00FE72C8" w:rsidRDefault="007C46C4" w:rsidP="0034570F">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Parental engagement</w:t>
            </w:r>
          </w:p>
          <w:p w14:paraId="284F2ABE" w14:textId="77777777" w:rsidR="007C46C4" w:rsidRPr="00FE72C8" w:rsidRDefault="007C46C4" w:rsidP="00420E79">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Attainment, Progress, Basic skills</w:t>
            </w:r>
          </w:p>
          <w:p w14:paraId="00279012" w14:textId="77777777" w:rsidR="007C46C4" w:rsidRPr="00FE72C8" w:rsidRDefault="007C46C4" w:rsidP="00420E79">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Personal Development</w:t>
            </w:r>
          </w:p>
          <w:p w14:paraId="08CEBC3D" w14:textId="77777777" w:rsidR="007C46C4" w:rsidRPr="00FE72C8" w:rsidRDefault="007C46C4" w:rsidP="00F874BA">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Leadership and Management</w:t>
            </w:r>
          </w:p>
          <w:p w14:paraId="7E181E64" w14:textId="77777777" w:rsidR="007C46C4" w:rsidRPr="00FE72C8" w:rsidRDefault="007C46C4" w:rsidP="00F874BA">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Key stage markers and end points</w:t>
            </w:r>
          </w:p>
          <w:p w14:paraId="7E52CD50" w14:textId="77777777" w:rsidR="007C46C4" w:rsidRPr="00FE72C8" w:rsidRDefault="007C46C4" w:rsidP="00F874BA">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Intervention and provision for lowest 20%</w:t>
            </w:r>
          </w:p>
        </w:tc>
        <w:tc>
          <w:tcPr>
            <w:tcW w:w="2990" w:type="pct"/>
            <w:gridSpan w:val="8"/>
          </w:tcPr>
          <w:p w14:paraId="33517399" w14:textId="0B0D8BE7" w:rsidR="007C46C4" w:rsidRDefault="007C46C4" w:rsidP="00420E79">
            <w:p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Priority Targets from the School Development Plan:</w:t>
            </w:r>
          </w:p>
          <w:p w14:paraId="21BCD54E" w14:textId="77777777" w:rsidR="00FE72C8" w:rsidRPr="00FE72C8" w:rsidRDefault="00FE72C8" w:rsidP="00420E79">
            <w:pPr>
              <w:rPr>
                <w:rFonts w:ascii="Arial" w:hAnsi="Arial" w:cs="Arial"/>
                <w:b/>
                <w:bCs/>
                <w:color w:val="1F3864" w:themeColor="accent1" w:themeShade="80"/>
                <w:sz w:val="20"/>
                <w:szCs w:val="20"/>
              </w:rPr>
            </w:pPr>
          </w:p>
          <w:p w14:paraId="56CC776B"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Design learning tasks with precision and clarity to enable the systematic delivery of sequenced knowledge, promoting both recall and independent learning, while allowing for timely correction and intervention.  Enable thoughtful opportunities for the recording and retrieval of knowledge.</w:t>
            </w:r>
          </w:p>
          <w:p w14:paraId="7D0E1E9B" w14:textId="77777777" w:rsidR="007C46C4" w:rsidRPr="00FE72C8" w:rsidRDefault="007C46C4" w:rsidP="004606FC">
            <w:pPr>
              <w:pStyle w:val="ListParagraph"/>
              <w:numPr>
                <w:ilvl w:val="0"/>
                <w:numId w:val="14"/>
              </w:num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xml:space="preserve">Embed high levels of </w:t>
            </w:r>
            <w:r w:rsidRPr="00FE72C8">
              <w:rPr>
                <w:rStyle w:val="Strong"/>
                <w:rFonts w:ascii="Arial" w:hAnsi="Arial" w:cs="Arial"/>
                <w:color w:val="1F3864" w:themeColor="accent1" w:themeShade="80"/>
                <w:sz w:val="20"/>
                <w:szCs w:val="20"/>
              </w:rPr>
              <w:t>oracy as a cross-curricular thread</w:t>
            </w:r>
            <w:r w:rsidRPr="00FE72C8">
              <w:rPr>
                <w:rFonts w:ascii="Arial" w:hAnsi="Arial" w:cs="Arial"/>
                <w:color w:val="1F3864" w:themeColor="accent1" w:themeShade="80"/>
                <w:sz w:val="20"/>
                <w:szCs w:val="20"/>
              </w:rPr>
              <w:t>, ensuring purposeful opportunities for spoken language development across all subjects to enhance communication skills and pupil confidence.</w:t>
            </w:r>
          </w:p>
          <w:p w14:paraId="21B91F3D"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Embed adaptive teaching strategies, both during planning and at the point of delivery, to meet the diverse needs of all learners.</w:t>
            </w:r>
          </w:p>
          <w:p w14:paraId="55F0359C"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Challenge for the most able – evidence in planning, books and discussion</w:t>
            </w:r>
          </w:p>
          <w:p w14:paraId="7B458253"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xml:space="preserve">Strengthen the accuracy and consistency of teacher assessment across all subjects by refining and standardising assessment criteria </w:t>
            </w:r>
            <w:r w:rsidRPr="00FE72C8">
              <w:rPr>
                <w:rFonts w:ascii="Arial" w:hAnsi="Arial" w:cs="Arial"/>
                <w:color w:val="1F3864" w:themeColor="accent1" w:themeShade="80"/>
                <w:sz w:val="20"/>
                <w:szCs w:val="20"/>
              </w:rPr>
              <w:t>to ensure accuracy, consistency, and inform effective teaching</w:t>
            </w:r>
          </w:p>
          <w:p w14:paraId="34A5B67E"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Review and update subject-specific curriculum documentation, ensuring clarity of intent, implementation, and impact for each subject area.</w:t>
            </w:r>
          </w:p>
          <w:p w14:paraId="5456E1DB"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Support for ECT’s</w:t>
            </w:r>
          </w:p>
          <w:p w14:paraId="318B363E" w14:textId="77777777" w:rsidR="007C46C4" w:rsidRPr="00FE72C8" w:rsidRDefault="007C46C4" w:rsidP="007C46C4">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xml:space="preserve">Stakeholder feedback </w:t>
            </w:r>
          </w:p>
          <w:p w14:paraId="7D1C6CF8" w14:textId="1C6388FE" w:rsidR="007C46C4" w:rsidRPr="00FE72C8" w:rsidRDefault="007C46C4" w:rsidP="007C46C4">
            <w:pPr>
              <w:pStyle w:val="ListParagraph"/>
              <w:rPr>
                <w:rFonts w:ascii="Arial" w:hAnsi="Arial" w:cs="Arial"/>
                <w:bCs/>
                <w:color w:val="1F3864" w:themeColor="accent1" w:themeShade="80"/>
                <w:sz w:val="20"/>
                <w:szCs w:val="20"/>
              </w:rPr>
            </w:pPr>
          </w:p>
        </w:tc>
      </w:tr>
      <w:tr w:rsidR="00FE72C8" w:rsidRPr="00FE72C8" w14:paraId="70130CFB" w14:textId="77777777" w:rsidTr="00B679C8">
        <w:trPr>
          <w:trHeight w:val="735"/>
        </w:trPr>
        <w:tc>
          <w:tcPr>
            <w:tcW w:w="715" w:type="pct"/>
          </w:tcPr>
          <w:p w14:paraId="3B7A4DD6"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Objectives</w:t>
            </w:r>
          </w:p>
        </w:tc>
        <w:tc>
          <w:tcPr>
            <w:tcW w:w="1295" w:type="pct"/>
            <w:gridSpan w:val="4"/>
          </w:tcPr>
          <w:p w14:paraId="5E08CE07"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 xml:space="preserve">Actions </w:t>
            </w:r>
          </w:p>
          <w:p w14:paraId="12D4C0BB"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(Processes)</w:t>
            </w:r>
          </w:p>
        </w:tc>
        <w:tc>
          <w:tcPr>
            <w:tcW w:w="1517" w:type="pct"/>
            <w:gridSpan w:val="4"/>
          </w:tcPr>
          <w:p w14:paraId="06F285C7"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 xml:space="preserve">Success criteria </w:t>
            </w:r>
          </w:p>
          <w:p w14:paraId="2102CD7B"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(Outcomes)</w:t>
            </w:r>
          </w:p>
        </w:tc>
        <w:tc>
          <w:tcPr>
            <w:tcW w:w="849" w:type="pct"/>
          </w:tcPr>
          <w:p w14:paraId="0391A547"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Monitoring arrangements</w:t>
            </w:r>
          </w:p>
          <w:p w14:paraId="057E541C"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(Outputs)</w:t>
            </w:r>
          </w:p>
        </w:tc>
        <w:tc>
          <w:tcPr>
            <w:tcW w:w="446" w:type="pct"/>
          </w:tcPr>
          <w:p w14:paraId="5A6D7C4E" w14:textId="6CAF5246" w:rsidR="00310B81" w:rsidRPr="00FE72C8" w:rsidRDefault="007C46C4"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Time line</w:t>
            </w:r>
          </w:p>
        </w:tc>
        <w:tc>
          <w:tcPr>
            <w:tcW w:w="178" w:type="pct"/>
            <w:gridSpan w:val="2"/>
          </w:tcPr>
          <w:p w14:paraId="354696C6"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w:t>
            </w:r>
          </w:p>
        </w:tc>
      </w:tr>
      <w:tr w:rsidR="00FE72C8" w:rsidRPr="00FE72C8" w14:paraId="370C89CF" w14:textId="77777777" w:rsidTr="00DA2C3B">
        <w:trPr>
          <w:trHeight w:val="735"/>
        </w:trPr>
        <w:tc>
          <w:tcPr>
            <w:tcW w:w="5000" w:type="pct"/>
            <w:gridSpan w:val="13"/>
            <w:shd w:val="clear" w:color="auto" w:fill="DEEAF6" w:themeFill="accent5" w:themeFillTint="33"/>
          </w:tcPr>
          <w:p w14:paraId="25E5FE55" w14:textId="220AFDDB" w:rsidR="00DA2C3B" w:rsidRPr="00FE72C8" w:rsidRDefault="00DA2C3B" w:rsidP="00F874BA">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Priority Target 1</w:t>
            </w:r>
          </w:p>
          <w:p w14:paraId="4E8A9F42" w14:textId="4287E4CA" w:rsidR="00DA2C3B" w:rsidRPr="00FE72C8" w:rsidRDefault="00DB06B3" w:rsidP="007C46C4">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Design learning tasks with precision and clarity to enable the systematic delivery of sequenced knowledge, promoting both recall and independent learning, while allowing for timely correction and intervention.  Enable thoughtful opportunities for the recording</w:t>
            </w:r>
            <w:r w:rsidR="00A66666" w:rsidRPr="00FE72C8">
              <w:rPr>
                <w:rFonts w:ascii="Arial" w:hAnsi="Arial" w:cs="Arial"/>
                <w:b/>
                <w:color w:val="1F3864" w:themeColor="accent1" w:themeShade="80"/>
                <w:sz w:val="20"/>
                <w:szCs w:val="20"/>
              </w:rPr>
              <w:t xml:space="preserve"> and retrieval </w:t>
            </w:r>
            <w:r w:rsidRPr="00FE72C8">
              <w:rPr>
                <w:rFonts w:ascii="Arial" w:hAnsi="Arial" w:cs="Arial"/>
                <w:b/>
                <w:color w:val="1F3864" w:themeColor="accent1" w:themeShade="80"/>
                <w:sz w:val="20"/>
                <w:szCs w:val="20"/>
              </w:rPr>
              <w:t>of knowledge.</w:t>
            </w:r>
          </w:p>
        </w:tc>
      </w:tr>
      <w:tr w:rsidR="00FE72C8" w:rsidRPr="00FE72C8" w14:paraId="7F16AB8E" w14:textId="77777777" w:rsidTr="00B679C8">
        <w:trPr>
          <w:trHeight w:val="2930"/>
        </w:trPr>
        <w:tc>
          <w:tcPr>
            <w:tcW w:w="715" w:type="pct"/>
          </w:tcPr>
          <w:p w14:paraId="2BB0A0DA" w14:textId="1B392237" w:rsidR="001545A6" w:rsidRPr="00FE72C8" w:rsidRDefault="00AE6B0D" w:rsidP="00435671">
            <w:p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 xml:space="preserve">Strengthen </w:t>
            </w:r>
            <w:r w:rsidR="009522F5">
              <w:rPr>
                <w:rFonts w:ascii="Arial" w:hAnsi="Arial" w:cs="Arial"/>
                <w:b/>
                <w:bCs/>
                <w:color w:val="1F3864" w:themeColor="accent1" w:themeShade="80"/>
                <w:sz w:val="20"/>
                <w:szCs w:val="20"/>
              </w:rPr>
              <w:t xml:space="preserve">Art </w:t>
            </w:r>
            <w:r w:rsidRPr="00FE72C8">
              <w:rPr>
                <w:rFonts w:ascii="Arial" w:hAnsi="Arial" w:cs="Arial"/>
                <w:b/>
                <w:bCs/>
                <w:color w:val="1F3864" w:themeColor="accent1" w:themeShade="80"/>
                <w:sz w:val="20"/>
                <w:szCs w:val="20"/>
              </w:rPr>
              <w:t>curriculum delivery through effective sequencing, retrieval and independent learning.</w:t>
            </w:r>
          </w:p>
        </w:tc>
        <w:tc>
          <w:tcPr>
            <w:tcW w:w="1295" w:type="pct"/>
            <w:gridSpan w:val="4"/>
          </w:tcPr>
          <w:p w14:paraId="1F939E66" w14:textId="0B723811"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xml:space="preserve">Plan learning in a clear sequence using </w:t>
            </w:r>
            <w:r w:rsidR="009522F5">
              <w:rPr>
                <w:rFonts w:ascii="Arial" w:hAnsi="Arial" w:cs="Arial"/>
                <w:color w:val="1F3864" w:themeColor="accent1" w:themeShade="80"/>
                <w:sz w:val="20"/>
                <w:szCs w:val="20"/>
              </w:rPr>
              <w:t xml:space="preserve">Art and Design </w:t>
            </w:r>
            <w:r w:rsidRPr="00FE72C8">
              <w:rPr>
                <w:rFonts w:ascii="Arial" w:hAnsi="Arial" w:cs="Arial"/>
                <w:color w:val="1F3864" w:themeColor="accent1" w:themeShade="80"/>
                <w:sz w:val="20"/>
                <w:szCs w:val="20"/>
              </w:rPr>
              <w:t>curriculum maps.</w:t>
            </w:r>
          </w:p>
          <w:p w14:paraId="7D307D6D"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Use retrieval activities to revisit prior learning.</w:t>
            </w:r>
          </w:p>
          <w:p w14:paraId="4848BEA6"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Match tasks closely to learning objectives.</w:t>
            </w:r>
          </w:p>
          <w:p w14:paraId="29C6D07B"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Develop independence through modelling, guided practice and scaffolding.</w:t>
            </w:r>
          </w:p>
          <w:p w14:paraId="4B38C0EB"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Provide timely feedback to address misconceptions.</w:t>
            </w:r>
          </w:p>
          <w:p w14:paraId="2E288F51" w14:textId="77777777" w:rsidR="00E537AC"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Use effective methods for recording and organising knowledge.</w:t>
            </w:r>
          </w:p>
          <w:p w14:paraId="513123D7" w14:textId="44ACA451" w:rsidR="007C46C4" w:rsidRPr="00FE72C8" w:rsidRDefault="007C46C4" w:rsidP="00AE6B0D">
            <w:pPr>
              <w:rPr>
                <w:rFonts w:ascii="Arial" w:hAnsi="Arial" w:cs="Arial"/>
                <w:color w:val="1F3864" w:themeColor="accent1" w:themeShade="80"/>
                <w:sz w:val="20"/>
                <w:szCs w:val="20"/>
              </w:rPr>
            </w:pPr>
          </w:p>
        </w:tc>
        <w:tc>
          <w:tcPr>
            <w:tcW w:w="1517" w:type="pct"/>
            <w:gridSpan w:val="4"/>
          </w:tcPr>
          <w:p w14:paraId="6BE98E76"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Learning builds on prior knowledge.</w:t>
            </w:r>
          </w:p>
          <w:p w14:paraId="7A0B4391"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Pupils recall key knowledge confidently.</w:t>
            </w:r>
          </w:p>
          <w:p w14:paraId="1D2C17E0"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Tasks support intended outcomes.</w:t>
            </w:r>
          </w:p>
          <w:p w14:paraId="3F9CAC24"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Pupils show increasing independence.</w:t>
            </w:r>
          </w:p>
          <w:p w14:paraId="7884AAA8"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Misconceptions are addressed promptly.</w:t>
            </w:r>
          </w:p>
          <w:p w14:paraId="6538DA40" w14:textId="1493D71C" w:rsidR="00782B6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Work demonstrates progression over time.</w:t>
            </w:r>
          </w:p>
        </w:tc>
        <w:tc>
          <w:tcPr>
            <w:tcW w:w="849" w:type="pct"/>
          </w:tcPr>
          <w:p w14:paraId="3B2A66A2"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Learning walks and lesson observations.</w:t>
            </w:r>
          </w:p>
          <w:p w14:paraId="64B01669"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Planning scrutiny.</w:t>
            </w:r>
          </w:p>
          <w:p w14:paraId="5258B7E0"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Book scrutiny.</w:t>
            </w:r>
          </w:p>
          <w:p w14:paraId="3092DE46"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Pupil voice.</w:t>
            </w:r>
          </w:p>
          <w:p w14:paraId="0D65EB5D"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Assessment data reviews.</w:t>
            </w:r>
          </w:p>
          <w:p w14:paraId="1E98972B" w14:textId="1A0310A6" w:rsidR="00715C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CPD impact evaluation.</w:t>
            </w:r>
          </w:p>
        </w:tc>
        <w:tc>
          <w:tcPr>
            <w:tcW w:w="446" w:type="pct"/>
          </w:tcPr>
          <w:p w14:paraId="5EEC1081" w14:textId="2621DD8F" w:rsidR="001545A6" w:rsidRPr="00FE72C8" w:rsidRDefault="001545A6" w:rsidP="006F32F0">
            <w:pPr>
              <w:rPr>
                <w:rFonts w:ascii="Arial" w:hAnsi="Arial" w:cs="Arial"/>
                <w:bCs/>
                <w:color w:val="1F3864" w:themeColor="accent1" w:themeShade="80"/>
                <w:sz w:val="20"/>
                <w:szCs w:val="20"/>
              </w:rPr>
            </w:pPr>
          </w:p>
        </w:tc>
        <w:tc>
          <w:tcPr>
            <w:tcW w:w="178" w:type="pct"/>
            <w:gridSpan w:val="2"/>
          </w:tcPr>
          <w:p w14:paraId="2142146F" w14:textId="77777777" w:rsidR="001545A6" w:rsidRPr="00FE72C8" w:rsidRDefault="001545A6" w:rsidP="006F32F0">
            <w:pPr>
              <w:rPr>
                <w:rFonts w:ascii="Arial" w:hAnsi="Arial" w:cs="Arial"/>
                <w:b/>
                <w:bCs/>
                <w:color w:val="1F3864" w:themeColor="accent1" w:themeShade="80"/>
                <w:sz w:val="20"/>
                <w:szCs w:val="20"/>
              </w:rPr>
            </w:pPr>
          </w:p>
        </w:tc>
      </w:tr>
      <w:tr w:rsidR="00FE72C8" w:rsidRPr="00FE72C8" w14:paraId="67668487" w14:textId="77777777" w:rsidTr="00DA2C3B">
        <w:trPr>
          <w:trHeight w:val="735"/>
        </w:trPr>
        <w:tc>
          <w:tcPr>
            <w:tcW w:w="5000" w:type="pct"/>
            <w:gridSpan w:val="13"/>
            <w:shd w:val="clear" w:color="auto" w:fill="DEEAF6" w:themeFill="accent5" w:themeFillTint="33"/>
          </w:tcPr>
          <w:p w14:paraId="23C0607F" w14:textId="1D3BAB16" w:rsidR="006F32F0" w:rsidRPr="00FE72C8" w:rsidRDefault="006F32F0" w:rsidP="006F32F0">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lastRenderedPageBreak/>
              <w:t>Priority Target 2</w:t>
            </w:r>
          </w:p>
          <w:p w14:paraId="151F34CD" w14:textId="52809612" w:rsidR="00435671" w:rsidRPr="00FE72C8" w:rsidRDefault="00435671" w:rsidP="006F32F0">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Embed oracy as a cross-curricular thread, ensuring purposeful opportunities for spoken language development across all subjects to enhance communication skills and pupil confidence.</w:t>
            </w:r>
          </w:p>
          <w:p w14:paraId="2642AFFF" w14:textId="58E25BAC" w:rsidR="006F32F0" w:rsidRPr="00FE72C8" w:rsidRDefault="006F32F0" w:rsidP="00435671">
            <w:pPr>
              <w:rPr>
                <w:rFonts w:ascii="Arial" w:hAnsi="Arial" w:cs="Arial"/>
                <w:b/>
                <w:bCs/>
                <w:color w:val="1F3864" w:themeColor="accent1" w:themeShade="80"/>
                <w:sz w:val="20"/>
                <w:szCs w:val="20"/>
              </w:rPr>
            </w:pPr>
          </w:p>
        </w:tc>
      </w:tr>
      <w:tr w:rsidR="00FE72C8" w:rsidRPr="00FE72C8" w14:paraId="1A9B71F4" w14:textId="77777777" w:rsidTr="00B679C8">
        <w:trPr>
          <w:trHeight w:val="735"/>
        </w:trPr>
        <w:tc>
          <w:tcPr>
            <w:tcW w:w="715" w:type="pct"/>
          </w:tcPr>
          <w:p w14:paraId="62F72667" w14:textId="2E713428" w:rsidR="00B84EDD" w:rsidRPr="00FE72C8" w:rsidRDefault="00AE6B0D" w:rsidP="00B84EDD">
            <w:p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Develop pupils' oracy skills across the</w:t>
            </w:r>
            <w:r w:rsidR="009522F5">
              <w:rPr>
                <w:rFonts w:ascii="Arial" w:hAnsi="Arial" w:cs="Arial"/>
                <w:b/>
                <w:bCs/>
                <w:color w:val="1F3864" w:themeColor="accent1" w:themeShade="80"/>
                <w:sz w:val="20"/>
                <w:szCs w:val="20"/>
              </w:rPr>
              <w:t xml:space="preserve"> Art</w:t>
            </w:r>
            <w:r w:rsidRPr="00FE72C8">
              <w:rPr>
                <w:rFonts w:ascii="Arial" w:hAnsi="Arial" w:cs="Arial"/>
                <w:b/>
                <w:bCs/>
                <w:color w:val="1F3864" w:themeColor="accent1" w:themeShade="80"/>
                <w:sz w:val="20"/>
                <w:szCs w:val="20"/>
              </w:rPr>
              <w:t xml:space="preserve"> curriculum.</w:t>
            </w:r>
          </w:p>
        </w:tc>
        <w:tc>
          <w:tcPr>
            <w:tcW w:w="1125" w:type="pct"/>
            <w:gridSpan w:val="3"/>
          </w:tcPr>
          <w:p w14:paraId="7EB607AC"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Embed structured talk activities in lessons.</w:t>
            </w:r>
          </w:p>
          <w:p w14:paraId="28513B82"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Teach and model subject-specific vocabulary.</w:t>
            </w:r>
          </w:p>
          <w:p w14:paraId="4F64C4F7"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Plan opportunities for discussion, debate and presentation.</w:t>
            </w:r>
          </w:p>
          <w:p w14:paraId="67E5104B"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Use speaking frames and visual prompts where needed.</w:t>
            </w:r>
          </w:p>
          <w:p w14:paraId="59AF01E8"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Celebrate pupil voice and speaking opportunities.</w:t>
            </w:r>
          </w:p>
          <w:p w14:paraId="41AA67E8" w14:textId="29E91A5E" w:rsidR="00707E26"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Share effective practice through CPD.</w:t>
            </w:r>
          </w:p>
        </w:tc>
        <w:tc>
          <w:tcPr>
            <w:tcW w:w="1531" w:type="pct"/>
            <w:gridSpan w:val="4"/>
          </w:tcPr>
          <w:p w14:paraId="2A737D30"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Pupils speak confidently and use subject vocabulary accurately.</w:t>
            </w:r>
          </w:p>
          <w:p w14:paraId="2B966A63"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Oracy is evident across subjects.</w:t>
            </w:r>
          </w:p>
          <w:p w14:paraId="447C2A89"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Pupils participate actively in discussions.</w:t>
            </w:r>
          </w:p>
          <w:p w14:paraId="4160F497" w14:textId="6A78AA0D" w:rsidR="00B84ED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Confidence, listening and turn-taking improve.</w:t>
            </w:r>
          </w:p>
        </w:tc>
        <w:tc>
          <w:tcPr>
            <w:tcW w:w="1005" w:type="pct"/>
            <w:gridSpan w:val="2"/>
          </w:tcPr>
          <w:p w14:paraId="3BEE6E65"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Learning walks and lesson observations.</w:t>
            </w:r>
          </w:p>
          <w:p w14:paraId="450DFAC6"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Planning scrutiny.</w:t>
            </w:r>
          </w:p>
          <w:p w14:paraId="445A4EDA"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Pupil voice.</w:t>
            </w:r>
          </w:p>
          <w:p w14:paraId="578FE1A0"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Work scrutiny and displays.</w:t>
            </w:r>
          </w:p>
          <w:p w14:paraId="5D11C9A5" w14:textId="45CFAE90" w:rsidR="00B84ED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Staff reflections and CPD reviews.</w:t>
            </w:r>
          </w:p>
        </w:tc>
        <w:tc>
          <w:tcPr>
            <w:tcW w:w="446" w:type="pct"/>
          </w:tcPr>
          <w:p w14:paraId="0E71B6E8" w14:textId="5CC44517" w:rsidR="00B84EDD" w:rsidRPr="00FE72C8" w:rsidRDefault="00B84EDD" w:rsidP="00B84EDD">
            <w:pPr>
              <w:rPr>
                <w:rFonts w:ascii="Arial" w:hAnsi="Arial" w:cs="Arial"/>
                <w:bCs/>
                <w:color w:val="1F3864" w:themeColor="accent1" w:themeShade="80"/>
                <w:sz w:val="20"/>
                <w:szCs w:val="20"/>
              </w:rPr>
            </w:pPr>
          </w:p>
        </w:tc>
        <w:tc>
          <w:tcPr>
            <w:tcW w:w="178" w:type="pct"/>
            <w:gridSpan w:val="2"/>
          </w:tcPr>
          <w:p w14:paraId="3B828E57" w14:textId="77777777" w:rsidR="00B84EDD" w:rsidRPr="00FE72C8" w:rsidRDefault="00B84EDD" w:rsidP="00B84EDD">
            <w:pPr>
              <w:rPr>
                <w:rFonts w:ascii="Arial" w:hAnsi="Arial" w:cs="Arial"/>
                <w:b/>
                <w:bCs/>
                <w:color w:val="1F3864" w:themeColor="accent1" w:themeShade="80"/>
                <w:sz w:val="20"/>
                <w:szCs w:val="20"/>
              </w:rPr>
            </w:pPr>
          </w:p>
        </w:tc>
      </w:tr>
      <w:tr w:rsidR="00FE72C8" w:rsidRPr="00FE72C8" w14:paraId="60A60155" w14:textId="77777777" w:rsidTr="00DA2C3B">
        <w:trPr>
          <w:trHeight w:val="735"/>
        </w:trPr>
        <w:tc>
          <w:tcPr>
            <w:tcW w:w="5000" w:type="pct"/>
            <w:gridSpan w:val="13"/>
            <w:shd w:val="clear" w:color="auto" w:fill="DEEAF6" w:themeFill="accent5" w:themeFillTint="33"/>
          </w:tcPr>
          <w:p w14:paraId="452FCB7B" w14:textId="76F9EFD3" w:rsidR="007C46C4" w:rsidRPr="00FE72C8" w:rsidRDefault="00B84EDD" w:rsidP="00B84EDD">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 xml:space="preserve">Priority Target </w:t>
            </w:r>
            <w:r w:rsidR="00A66666" w:rsidRPr="00FE72C8">
              <w:rPr>
                <w:rFonts w:ascii="Arial" w:hAnsi="Arial" w:cs="Arial"/>
                <w:b/>
                <w:color w:val="1F3864" w:themeColor="accent1" w:themeShade="80"/>
                <w:sz w:val="20"/>
                <w:szCs w:val="20"/>
              </w:rPr>
              <w:t>3</w:t>
            </w:r>
            <w:r w:rsidR="007C46C4" w:rsidRPr="00FE72C8">
              <w:rPr>
                <w:rFonts w:ascii="Arial" w:hAnsi="Arial" w:cs="Arial"/>
                <w:b/>
                <w:color w:val="1F3864" w:themeColor="accent1" w:themeShade="80"/>
                <w:sz w:val="20"/>
                <w:szCs w:val="20"/>
              </w:rPr>
              <w:t xml:space="preserve">  </w:t>
            </w:r>
          </w:p>
          <w:p w14:paraId="419733AB" w14:textId="3EE3D359" w:rsidR="00B84EDD" w:rsidRPr="00FE72C8" w:rsidRDefault="00275785" w:rsidP="00B84EDD">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 xml:space="preserve">Continue to refine </w:t>
            </w:r>
            <w:r w:rsidR="00B84EDD" w:rsidRPr="00FE72C8">
              <w:rPr>
                <w:rFonts w:ascii="Arial" w:hAnsi="Arial" w:cs="Arial"/>
                <w:b/>
                <w:color w:val="1F3864" w:themeColor="accent1" w:themeShade="80"/>
                <w:sz w:val="20"/>
                <w:szCs w:val="20"/>
              </w:rPr>
              <w:t>adaptive teaching strategies, both during planning and at the point of delivery, to meet the diverse needs of all learners</w:t>
            </w:r>
            <w:r w:rsidR="00AE6B0D" w:rsidRPr="00FE72C8">
              <w:rPr>
                <w:rFonts w:ascii="Arial" w:hAnsi="Arial" w:cs="Arial"/>
                <w:b/>
                <w:color w:val="1F3864" w:themeColor="accent1" w:themeShade="80"/>
                <w:sz w:val="20"/>
                <w:szCs w:val="20"/>
              </w:rPr>
              <w:t>.</w:t>
            </w:r>
          </w:p>
        </w:tc>
      </w:tr>
      <w:tr w:rsidR="00FE72C8" w:rsidRPr="00FE72C8" w14:paraId="193F1895" w14:textId="77777777" w:rsidTr="00B679C8">
        <w:trPr>
          <w:trHeight w:val="735"/>
        </w:trPr>
        <w:tc>
          <w:tcPr>
            <w:tcW w:w="715" w:type="pct"/>
            <w:tcBorders>
              <w:bottom w:val="nil"/>
            </w:tcBorders>
          </w:tcPr>
          <w:p w14:paraId="4B049341" w14:textId="69898BA5" w:rsidR="00AE6B0D" w:rsidRPr="00FE72C8" w:rsidRDefault="00AE6B0D" w:rsidP="00AE6B0D">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Strengthen adaptive teaching to meet the needs of all learners.</w:t>
            </w:r>
            <w:r w:rsidRPr="00FE72C8">
              <w:rPr>
                <w:rFonts w:ascii="Arial" w:hAnsi="Arial" w:cs="Arial"/>
                <w:b/>
                <w:color w:val="1F3864" w:themeColor="accent1" w:themeShade="80"/>
                <w:sz w:val="20"/>
                <w:szCs w:val="20"/>
              </w:rPr>
              <w:tab/>
            </w:r>
          </w:p>
          <w:p w14:paraId="09921037" w14:textId="61B23285" w:rsidR="00AE6B0D" w:rsidRPr="00FE72C8" w:rsidRDefault="00AE6B0D" w:rsidP="00AE6B0D">
            <w:pPr>
              <w:rPr>
                <w:rFonts w:ascii="Arial" w:hAnsi="Arial" w:cs="Arial"/>
                <w:b/>
                <w:color w:val="1F3864" w:themeColor="accent1" w:themeShade="80"/>
                <w:sz w:val="20"/>
                <w:szCs w:val="20"/>
              </w:rPr>
            </w:pPr>
          </w:p>
          <w:p w14:paraId="394D19DB" w14:textId="20907A58" w:rsidR="00AE6B0D" w:rsidRPr="00FE72C8" w:rsidRDefault="00AE6B0D" w:rsidP="00AE6B0D">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ab/>
            </w:r>
          </w:p>
          <w:p w14:paraId="31E26977" w14:textId="65D54310" w:rsidR="00AE6B0D" w:rsidRPr="00FE72C8" w:rsidRDefault="00AE6B0D" w:rsidP="00AE6B0D">
            <w:pPr>
              <w:rPr>
                <w:rFonts w:ascii="Arial" w:hAnsi="Arial" w:cs="Arial"/>
                <w:b/>
                <w:color w:val="1F3864" w:themeColor="accent1" w:themeShade="80"/>
                <w:sz w:val="20"/>
                <w:szCs w:val="20"/>
              </w:rPr>
            </w:pPr>
          </w:p>
          <w:p w14:paraId="4D6B016B" w14:textId="5EEC7DC2" w:rsidR="00B84EDD" w:rsidRPr="00FE72C8" w:rsidRDefault="00B84EDD" w:rsidP="00AE6B0D">
            <w:pPr>
              <w:rPr>
                <w:rFonts w:ascii="Arial" w:hAnsi="Arial" w:cs="Arial"/>
                <w:b/>
                <w:color w:val="1F3864" w:themeColor="accent1" w:themeShade="80"/>
                <w:sz w:val="20"/>
                <w:szCs w:val="20"/>
              </w:rPr>
            </w:pPr>
          </w:p>
        </w:tc>
        <w:tc>
          <w:tcPr>
            <w:tcW w:w="1068" w:type="pct"/>
            <w:tcBorders>
              <w:bottom w:val="nil"/>
            </w:tcBorders>
          </w:tcPr>
          <w:p w14:paraId="49FD2482"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Provide appropriate support, scaffolds and challenge.</w:t>
            </w:r>
          </w:p>
          <w:p w14:paraId="0F6E5E6E"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Use adaptive resources and flexible grouping.</w:t>
            </w:r>
          </w:p>
          <w:p w14:paraId="18295537"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Adapt teaching through effective questioning and assessment.</w:t>
            </w:r>
          </w:p>
          <w:p w14:paraId="04B6DBC0"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Share good practice through CPD and collaboration.</w:t>
            </w:r>
          </w:p>
          <w:p w14:paraId="60CF0906" w14:textId="77777777" w:rsidR="00CB761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Maintain high expectations and promote independence.</w:t>
            </w:r>
          </w:p>
          <w:p w14:paraId="019A25D7"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Use assessment, SEND/EAL profiles and pupil voice to inform planning.</w:t>
            </w:r>
          </w:p>
          <w:p w14:paraId="74821E13" w14:textId="3D7F899C" w:rsidR="00AE6B0D" w:rsidRPr="00FE72C8" w:rsidRDefault="00AE6B0D" w:rsidP="00AE6B0D">
            <w:pPr>
              <w:rPr>
                <w:rFonts w:ascii="Arial" w:hAnsi="Arial" w:cs="Arial"/>
                <w:bCs/>
                <w:color w:val="1F3864" w:themeColor="accent1" w:themeShade="80"/>
                <w:sz w:val="20"/>
                <w:szCs w:val="20"/>
              </w:rPr>
            </w:pPr>
          </w:p>
        </w:tc>
        <w:tc>
          <w:tcPr>
            <w:tcW w:w="1512" w:type="pct"/>
            <w:gridSpan w:val="4"/>
          </w:tcPr>
          <w:p w14:paraId="0412AE9B"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Lessons show effective adaptation and challenge.</w:t>
            </w:r>
          </w:p>
          <w:p w14:paraId="5BC13132"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Pupils access learning and make good progress.</w:t>
            </w:r>
          </w:p>
          <w:p w14:paraId="1D89308B"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SEND, EAL and disadvantaged pupils achieve well.</w:t>
            </w:r>
          </w:p>
          <w:p w14:paraId="3318151F"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Pupils feel supported and challenged.</w:t>
            </w:r>
          </w:p>
          <w:p w14:paraId="33EB5C7E" w14:textId="3DEF0AD2" w:rsidR="00B84ED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Teachers confidently adapt learning to meet needs.</w:t>
            </w:r>
            <w:r w:rsidRPr="00FE72C8">
              <w:rPr>
                <w:rFonts w:ascii="Arial" w:hAnsi="Arial" w:cs="Arial"/>
                <w:bCs/>
                <w:color w:val="1F3864" w:themeColor="accent1" w:themeShade="80"/>
                <w:sz w:val="20"/>
                <w:szCs w:val="20"/>
              </w:rPr>
              <w:tab/>
            </w:r>
          </w:p>
        </w:tc>
        <w:tc>
          <w:tcPr>
            <w:tcW w:w="1081" w:type="pct"/>
            <w:gridSpan w:val="4"/>
          </w:tcPr>
          <w:p w14:paraId="293DAA2C"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Learning walks and lesson observations.</w:t>
            </w:r>
          </w:p>
          <w:p w14:paraId="3DB63180"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Planning and book scrutiny.</w:t>
            </w:r>
          </w:p>
          <w:p w14:paraId="1195DB56"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Pupil voice.</w:t>
            </w:r>
          </w:p>
          <w:p w14:paraId="3D0C31EF"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Assessment and progress data.</w:t>
            </w:r>
          </w:p>
          <w:p w14:paraId="17E46070"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Monitoring of vulnerable groups.</w:t>
            </w:r>
          </w:p>
          <w:p w14:paraId="67480F8F" w14:textId="2F546E86" w:rsidR="00B84ED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CPD impact reviews.</w:t>
            </w:r>
          </w:p>
        </w:tc>
        <w:tc>
          <w:tcPr>
            <w:tcW w:w="464" w:type="pct"/>
            <w:gridSpan w:val="2"/>
          </w:tcPr>
          <w:p w14:paraId="5289CD38" w14:textId="199DF88B" w:rsidR="00B84EDD" w:rsidRPr="00FE72C8" w:rsidRDefault="00B84EDD" w:rsidP="00B84EDD">
            <w:pPr>
              <w:rPr>
                <w:rFonts w:ascii="Arial" w:hAnsi="Arial" w:cs="Arial"/>
                <w:bCs/>
                <w:color w:val="1F3864" w:themeColor="accent1" w:themeShade="80"/>
                <w:sz w:val="20"/>
                <w:szCs w:val="20"/>
              </w:rPr>
            </w:pPr>
          </w:p>
        </w:tc>
        <w:tc>
          <w:tcPr>
            <w:tcW w:w="160" w:type="pct"/>
          </w:tcPr>
          <w:p w14:paraId="0B92C93E" w14:textId="77777777" w:rsidR="00B84EDD" w:rsidRPr="00FE72C8" w:rsidRDefault="00B84EDD" w:rsidP="00B84EDD">
            <w:pPr>
              <w:rPr>
                <w:rFonts w:ascii="Arial" w:hAnsi="Arial" w:cs="Arial"/>
                <w:b/>
                <w:bCs/>
                <w:color w:val="1F3864" w:themeColor="accent1" w:themeShade="80"/>
                <w:sz w:val="20"/>
                <w:szCs w:val="20"/>
              </w:rPr>
            </w:pPr>
          </w:p>
        </w:tc>
      </w:tr>
      <w:tr w:rsidR="00FE72C8" w:rsidRPr="00FE72C8" w14:paraId="4FB0B613" w14:textId="77777777" w:rsidTr="00DA2C3B">
        <w:trPr>
          <w:trHeight w:val="735"/>
        </w:trPr>
        <w:tc>
          <w:tcPr>
            <w:tcW w:w="5000" w:type="pct"/>
            <w:gridSpan w:val="13"/>
            <w:shd w:val="clear" w:color="auto" w:fill="DEEAF6" w:themeFill="accent5" w:themeFillTint="33"/>
          </w:tcPr>
          <w:p w14:paraId="5DC34B7E" w14:textId="77777777" w:rsidR="007C46C4" w:rsidRPr="00FE72C8" w:rsidRDefault="00B84EDD" w:rsidP="008050CF">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 xml:space="preserve">Priority Target </w:t>
            </w:r>
            <w:r w:rsidR="00A66666" w:rsidRPr="00FE72C8">
              <w:rPr>
                <w:rFonts w:ascii="Arial" w:hAnsi="Arial" w:cs="Arial"/>
                <w:b/>
                <w:color w:val="1F3864" w:themeColor="accent1" w:themeShade="80"/>
                <w:sz w:val="20"/>
                <w:szCs w:val="20"/>
              </w:rPr>
              <w:t>4</w:t>
            </w:r>
            <w:r w:rsidR="00347281" w:rsidRPr="00FE72C8">
              <w:rPr>
                <w:rFonts w:ascii="Arial" w:hAnsi="Arial" w:cs="Arial"/>
                <w:b/>
                <w:color w:val="1F3864" w:themeColor="accent1" w:themeShade="80"/>
                <w:sz w:val="20"/>
                <w:szCs w:val="20"/>
              </w:rPr>
              <w:t xml:space="preserve"> </w:t>
            </w:r>
          </w:p>
          <w:p w14:paraId="5BC27FE1" w14:textId="616794C6" w:rsidR="00B84EDD" w:rsidRPr="00FE72C8" w:rsidRDefault="00AE6B0D" w:rsidP="008050CF">
            <w:pPr>
              <w:rPr>
                <w:rFonts w:ascii="Arial" w:hAnsi="Arial" w:cs="Arial"/>
                <w:b/>
                <w:bCs/>
                <w:color w:val="1F3864" w:themeColor="accent1" w:themeShade="80"/>
                <w:sz w:val="20"/>
                <w:szCs w:val="20"/>
              </w:rPr>
            </w:pPr>
            <w:r w:rsidRPr="00FE72C8">
              <w:rPr>
                <w:rFonts w:ascii="Arial" w:hAnsi="Arial" w:cs="Arial"/>
                <w:b/>
                <w:color w:val="1F3864" w:themeColor="accent1" w:themeShade="80"/>
                <w:sz w:val="20"/>
                <w:szCs w:val="20"/>
              </w:rPr>
              <w:t>To ensure the most able learners, including middle-attaining pupils with Greater Depth potential, are consistently challenged through adaptive teaching, effective questioning, rich learning experiences and opportunities for independent research, critical thinking and self-directed learning.</w:t>
            </w:r>
          </w:p>
        </w:tc>
      </w:tr>
      <w:tr w:rsidR="00FE72C8" w:rsidRPr="00FE72C8" w14:paraId="0C51B380" w14:textId="77777777" w:rsidTr="00B679C8">
        <w:trPr>
          <w:trHeight w:val="735"/>
        </w:trPr>
        <w:tc>
          <w:tcPr>
            <w:tcW w:w="715" w:type="pct"/>
          </w:tcPr>
          <w:p w14:paraId="18CFDEE5" w14:textId="44B5C2A5" w:rsidR="00275785" w:rsidRPr="00FE72C8" w:rsidRDefault="00AE6B0D" w:rsidP="007C46C4">
            <w:pPr>
              <w:spacing w:after="200"/>
              <w:contextualSpacing/>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Increase challenge and attainment for the most able pupils and those with the potential to achieve Greater Depth Standard (GDS).</w:t>
            </w:r>
            <w:r w:rsidRPr="00FE72C8">
              <w:rPr>
                <w:rFonts w:ascii="Arial" w:hAnsi="Arial" w:cs="Arial"/>
                <w:b/>
                <w:bCs/>
                <w:color w:val="1F3864" w:themeColor="accent1" w:themeShade="80"/>
                <w:sz w:val="20"/>
                <w:szCs w:val="20"/>
              </w:rPr>
              <w:tab/>
            </w:r>
          </w:p>
        </w:tc>
        <w:tc>
          <w:tcPr>
            <w:tcW w:w="1117" w:type="pct"/>
            <w:gridSpan w:val="2"/>
          </w:tcPr>
          <w:p w14:paraId="07BE867A"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Create a targeted "potential GDS" register and review termly.</w:t>
            </w:r>
          </w:p>
          <w:p w14:paraId="458D1048"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Develop effective questioning strategies that promote reasoning, explanation, justification, inference and deeper thinking across the curriculum.</w:t>
            </w:r>
          </w:p>
          <w:p w14:paraId="26CEC0D3"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Ensure teachers plan regular opportunities for pupils to think critically, problem-solve, investigate and apply learning independently.</w:t>
            </w:r>
          </w:p>
          <w:p w14:paraId="6FECCE4A"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lastRenderedPageBreak/>
              <w:t>• Embed high-quality challenge within all lessons rather than relying on extension tasks.</w:t>
            </w:r>
          </w:p>
          <w:p w14:paraId="6AB2D435" w14:textId="77777777" w:rsidR="00AE6B0D" w:rsidRPr="00FE72C8" w:rsidRDefault="00AE6B0D" w:rsidP="00AE6B0D">
            <w:pPr>
              <w:rPr>
                <w:rFonts w:ascii="Arial" w:hAnsi="Arial" w:cs="Arial"/>
                <w:color w:val="1F3864" w:themeColor="accent1" w:themeShade="80"/>
                <w:sz w:val="20"/>
                <w:szCs w:val="20"/>
              </w:rPr>
            </w:pPr>
          </w:p>
          <w:p w14:paraId="6983E1AC"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Provide opportunities for pupils to undertake self-directed learning, research projects and enquiry-based activities which promote independence, curiosity and resilience.</w:t>
            </w:r>
          </w:p>
          <w:p w14:paraId="4D55739A"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Ensure middle-attaining pupils capable of achieving GDS are regularly identified, monitored and challenged appropriately.</w:t>
            </w:r>
          </w:p>
          <w:p w14:paraId="6813ACCD"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Provide opportunities for pupils to demonstrate greater depth through speaking, writing, reasoning, collaboration and independent outcomes across the wider curriculum.</w:t>
            </w:r>
          </w:p>
          <w:p w14:paraId="0E89CD12" w14:textId="77777777" w:rsidR="00B6325B"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Share examples of effective challenge through coaching, planning scrutiny and pupil progress discussions.</w:t>
            </w:r>
            <w:r w:rsidRPr="00FE72C8">
              <w:rPr>
                <w:rFonts w:ascii="Arial" w:hAnsi="Arial" w:cs="Arial"/>
                <w:color w:val="1F3864" w:themeColor="accent1" w:themeShade="80"/>
                <w:sz w:val="20"/>
                <w:szCs w:val="20"/>
              </w:rPr>
              <w:tab/>
            </w:r>
          </w:p>
          <w:p w14:paraId="61250C39" w14:textId="299D31BC" w:rsidR="00275785"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Increased proportion of pupils working at and achieving Greater Depth standards.</w:t>
            </w:r>
          </w:p>
        </w:tc>
        <w:tc>
          <w:tcPr>
            <w:tcW w:w="1487" w:type="pct"/>
            <w:gridSpan w:val="4"/>
          </w:tcPr>
          <w:p w14:paraId="0D605C1E"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lastRenderedPageBreak/>
              <w:t>Identified potential GDS pupils make accelerated progress towards end-of-year expectations.</w:t>
            </w:r>
          </w:p>
          <w:p w14:paraId="44BAB561" w14:textId="77777777" w:rsidR="00AE6B0D" w:rsidRPr="00FE72C8" w:rsidRDefault="00AE6B0D" w:rsidP="00AE6B0D">
            <w:pPr>
              <w:rPr>
                <w:rFonts w:ascii="Arial" w:hAnsi="Arial" w:cs="Arial"/>
                <w:bCs/>
                <w:color w:val="1F3864" w:themeColor="accent1" w:themeShade="80"/>
                <w:sz w:val="20"/>
                <w:szCs w:val="20"/>
              </w:rPr>
            </w:pPr>
          </w:p>
          <w:p w14:paraId="49CD12D8"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Pupils demonstrate increased independence, resilience and ownership of learning.</w:t>
            </w:r>
          </w:p>
          <w:p w14:paraId="5B58C2AE" w14:textId="77777777" w:rsidR="00AE6B0D" w:rsidRPr="00FE72C8" w:rsidRDefault="00AE6B0D" w:rsidP="00AE6B0D">
            <w:pPr>
              <w:rPr>
                <w:rFonts w:ascii="Arial" w:hAnsi="Arial" w:cs="Arial"/>
                <w:bCs/>
                <w:color w:val="1F3864" w:themeColor="accent1" w:themeShade="80"/>
                <w:sz w:val="20"/>
                <w:szCs w:val="20"/>
              </w:rPr>
            </w:pPr>
          </w:p>
          <w:p w14:paraId="773181B9"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Lesson observations and work scrutiny show consistent evidence of challenge for higher-attaining pupils.</w:t>
            </w:r>
          </w:p>
          <w:p w14:paraId="414A815B" w14:textId="77777777" w:rsidR="00AE6B0D" w:rsidRPr="00FE72C8" w:rsidRDefault="00AE6B0D" w:rsidP="00AE6B0D">
            <w:pPr>
              <w:rPr>
                <w:rFonts w:ascii="Arial" w:hAnsi="Arial" w:cs="Arial"/>
                <w:bCs/>
                <w:color w:val="1F3864" w:themeColor="accent1" w:themeShade="80"/>
                <w:sz w:val="20"/>
                <w:szCs w:val="20"/>
              </w:rPr>
            </w:pPr>
          </w:p>
          <w:p w14:paraId="6251504E"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lastRenderedPageBreak/>
              <w:t>• Pupils can explain, justify and reason about their learning with confidence.</w:t>
            </w:r>
          </w:p>
          <w:p w14:paraId="6482AEC7" w14:textId="77777777" w:rsidR="00AE6B0D" w:rsidRPr="00FE72C8" w:rsidRDefault="00AE6B0D" w:rsidP="00AE6B0D">
            <w:pPr>
              <w:rPr>
                <w:rFonts w:ascii="Arial" w:hAnsi="Arial" w:cs="Arial"/>
                <w:bCs/>
                <w:color w:val="1F3864" w:themeColor="accent1" w:themeShade="80"/>
                <w:sz w:val="20"/>
                <w:szCs w:val="20"/>
              </w:rPr>
            </w:pPr>
          </w:p>
          <w:p w14:paraId="0477FE75"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Teachers routinely adapt questioning and learning activities to deepen thinking and extend learning.</w:t>
            </w:r>
            <w:r w:rsidRPr="00FE72C8">
              <w:rPr>
                <w:rFonts w:ascii="Arial" w:hAnsi="Arial" w:cs="Arial"/>
                <w:bCs/>
                <w:color w:val="1F3864" w:themeColor="accent1" w:themeShade="80"/>
                <w:sz w:val="20"/>
                <w:szCs w:val="20"/>
              </w:rPr>
              <w:tab/>
              <w:t>• Termly analysis of assessment data, including NFER and practice papers.</w:t>
            </w:r>
          </w:p>
          <w:p w14:paraId="428B79A9" w14:textId="659872D3" w:rsidR="00275785" w:rsidRPr="00FE72C8" w:rsidRDefault="00275785" w:rsidP="00275785">
            <w:pPr>
              <w:rPr>
                <w:rFonts w:ascii="Arial" w:hAnsi="Arial" w:cs="Arial"/>
                <w:bCs/>
                <w:color w:val="1F3864" w:themeColor="accent1" w:themeShade="80"/>
                <w:sz w:val="20"/>
                <w:szCs w:val="20"/>
              </w:rPr>
            </w:pPr>
          </w:p>
        </w:tc>
        <w:tc>
          <w:tcPr>
            <w:tcW w:w="1057" w:type="pct"/>
            <w:gridSpan w:val="3"/>
          </w:tcPr>
          <w:p w14:paraId="40169076"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lastRenderedPageBreak/>
              <w:t>Pupil progress meetings.</w:t>
            </w:r>
          </w:p>
          <w:p w14:paraId="3CB0D8EE" w14:textId="77777777" w:rsidR="00AE6B0D" w:rsidRPr="00FE72C8" w:rsidRDefault="00AE6B0D" w:rsidP="00AE6B0D">
            <w:pPr>
              <w:rPr>
                <w:rFonts w:ascii="Arial" w:hAnsi="Arial" w:cs="Arial"/>
                <w:bCs/>
                <w:color w:val="1F3864" w:themeColor="accent1" w:themeShade="80"/>
                <w:sz w:val="20"/>
                <w:szCs w:val="20"/>
              </w:rPr>
            </w:pPr>
          </w:p>
          <w:p w14:paraId="677F0909"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Work scrutiny and book looks.</w:t>
            </w:r>
          </w:p>
          <w:p w14:paraId="0F8A91AA" w14:textId="77777777" w:rsidR="00AE6B0D" w:rsidRPr="00FE72C8" w:rsidRDefault="00AE6B0D" w:rsidP="00AE6B0D">
            <w:pPr>
              <w:rPr>
                <w:rFonts w:ascii="Arial" w:hAnsi="Arial" w:cs="Arial"/>
                <w:bCs/>
                <w:color w:val="1F3864" w:themeColor="accent1" w:themeShade="80"/>
                <w:sz w:val="20"/>
                <w:szCs w:val="20"/>
              </w:rPr>
            </w:pPr>
          </w:p>
          <w:p w14:paraId="5202CFBE"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Pupil voice.</w:t>
            </w:r>
          </w:p>
          <w:p w14:paraId="50E89393" w14:textId="77777777" w:rsidR="00AE6B0D" w:rsidRPr="00FE72C8" w:rsidRDefault="00AE6B0D" w:rsidP="00AE6B0D">
            <w:pPr>
              <w:rPr>
                <w:rFonts w:ascii="Arial" w:hAnsi="Arial" w:cs="Arial"/>
                <w:bCs/>
                <w:color w:val="1F3864" w:themeColor="accent1" w:themeShade="80"/>
                <w:sz w:val="20"/>
                <w:szCs w:val="20"/>
              </w:rPr>
            </w:pPr>
          </w:p>
          <w:p w14:paraId="0572494B"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Learning walks and lesson observations.</w:t>
            </w:r>
          </w:p>
          <w:p w14:paraId="0C728263" w14:textId="77777777" w:rsidR="00AE6B0D" w:rsidRPr="00FE72C8" w:rsidRDefault="00AE6B0D" w:rsidP="00AE6B0D">
            <w:pPr>
              <w:rPr>
                <w:rFonts w:ascii="Arial" w:hAnsi="Arial" w:cs="Arial"/>
                <w:bCs/>
                <w:color w:val="1F3864" w:themeColor="accent1" w:themeShade="80"/>
                <w:sz w:val="20"/>
                <w:szCs w:val="20"/>
              </w:rPr>
            </w:pPr>
          </w:p>
          <w:p w14:paraId="644DD503" w14:textId="77777777" w:rsidR="00275785"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lastRenderedPageBreak/>
              <w:t>• Monitoring of identified potential GDS pupils' attainment and progress.</w:t>
            </w:r>
          </w:p>
          <w:p w14:paraId="596EC364" w14:textId="211DEC8F" w:rsidR="00FE72C8" w:rsidRPr="00FE72C8" w:rsidRDefault="00FE72C8" w:rsidP="00AE6B0D">
            <w:pPr>
              <w:rPr>
                <w:rFonts w:ascii="Arial" w:hAnsi="Arial" w:cs="Arial"/>
                <w:bCs/>
                <w:color w:val="1F3864" w:themeColor="accent1" w:themeShade="80"/>
                <w:sz w:val="20"/>
                <w:szCs w:val="20"/>
              </w:rPr>
            </w:pPr>
            <w:r>
              <w:rPr>
                <w:rFonts w:ascii="Arial" w:hAnsi="Arial" w:cs="Arial"/>
                <w:bCs/>
                <w:color w:val="1F3864" w:themeColor="accent1" w:themeShade="80"/>
                <w:sz w:val="20"/>
                <w:szCs w:val="20"/>
              </w:rPr>
              <w:t>Pupil Progress meetings</w:t>
            </w:r>
          </w:p>
        </w:tc>
        <w:tc>
          <w:tcPr>
            <w:tcW w:w="446" w:type="pct"/>
          </w:tcPr>
          <w:p w14:paraId="094AB0B1" w14:textId="6007A8F7" w:rsidR="00275785" w:rsidRPr="00FE72C8" w:rsidRDefault="00275785" w:rsidP="00275785">
            <w:pPr>
              <w:rPr>
                <w:rFonts w:ascii="Arial" w:hAnsi="Arial" w:cs="Arial"/>
                <w:color w:val="1F3864" w:themeColor="accent1" w:themeShade="80"/>
                <w:sz w:val="20"/>
                <w:szCs w:val="20"/>
              </w:rPr>
            </w:pPr>
          </w:p>
        </w:tc>
        <w:tc>
          <w:tcPr>
            <w:tcW w:w="178" w:type="pct"/>
            <w:gridSpan w:val="2"/>
          </w:tcPr>
          <w:p w14:paraId="5B3655E8" w14:textId="77777777" w:rsidR="00275785" w:rsidRPr="00FE72C8" w:rsidRDefault="00275785" w:rsidP="00275785">
            <w:pPr>
              <w:rPr>
                <w:rFonts w:ascii="Arial" w:hAnsi="Arial" w:cs="Arial"/>
                <w:bCs/>
                <w:color w:val="1F3864" w:themeColor="accent1" w:themeShade="80"/>
                <w:sz w:val="20"/>
                <w:szCs w:val="20"/>
              </w:rPr>
            </w:pPr>
          </w:p>
          <w:p w14:paraId="33DC672F" w14:textId="77777777" w:rsidR="00275785" w:rsidRPr="00FE72C8" w:rsidRDefault="00275785" w:rsidP="00275785">
            <w:pPr>
              <w:rPr>
                <w:rFonts w:ascii="Arial" w:hAnsi="Arial" w:cs="Arial"/>
                <w:bCs/>
                <w:color w:val="1F3864" w:themeColor="accent1" w:themeShade="80"/>
                <w:sz w:val="20"/>
                <w:szCs w:val="20"/>
              </w:rPr>
            </w:pPr>
          </w:p>
          <w:p w14:paraId="2AF85C9C" w14:textId="77777777" w:rsidR="00275785" w:rsidRPr="00FE72C8" w:rsidRDefault="00275785" w:rsidP="00275785">
            <w:pPr>
              <w:rPr>
                <w:rFonts w:ascii="Arial" w:hAnsi="Arial" w:cs="Arial"/>
                <w:bCs/>
                <w:color w:val="1F3864" w:themeColor="accent1" w:themeShade="80"/>
                <w:sz w:val="20"/>
                <w:szCs w:val="20"/>
              </w:rPr>
            </w:pPr>
          </w:p>
          <w:p w14:paraId="11693638" w14:textId="2549D918" w:rsidR="00275785" w:rsidRPr="00FE72C8" w:rsidRDefault="00275785" w:rsidP="00275785">
            <w:pPr>
              <w:rPr>
                <w:rFonts w:ascii="Arial" w:hAnsi="Arial" w:cs="Arial"/>
                <w:bCs/>
                <w:color w:val="1F3864" w:themeColor="accent1" w:themeShade="80"/>
                <w:sz w:val="20"/>
                <w:szCs w:val="20"/>
              </w:rPr>
            </w:pPr>
          </w:p>
        </w:tc>
      </w:tr>
      <w:tr w:rsidR="00FE72C8" w:rsidRPr="00FE72C8" w14:paraId="01C9AA87" w14:textId="77777777" w:rsidTr="007C46C4">
        <w:trPr>
          <w:trHeight w:val="735"/>
        </w:trPr>
        <w:tc>
          <w:tcPr>
            <w:tcW w:w="5000" w:type="pct"/>
            <w:gridSpan w:val="13"/>
            <w:shd w:val="clear" w:color="auto" w:fill="DEEAF6" w:themeFill="accent5" w:themeFillTint="33"/>
          </w:tcPr>
          <w:p w14:paraId="2BA99A66" w14:textId="77777777" w:rsidR="00B679C8" w:rsidRPr="00B679C8" w:rsidRDefault="007C46C4" w:rsidP="00B679C8">
            <w:pPr>
              <w:spacing w:line="300" w:lineRule="atLeast"/>
              <w:jc w:val="center"/>
              <w:rPr>
                <w:rFonts w:ascii="Arial" w:hAnsi="Arial" w:cs="Arial"/>
                <w:b/>
                <w:bCs/>
                <w:color w:val="1F3864" w:themeColor="accent1" w:themeShade="80"/>
                <w:sz w:val="20"/>
                <w:szCs w:val="20"/>
                <w:lang w:eastAsia="en-GB"/>
              </w:rPr>
            </w:pPr>
            <w:r w:rsidRPr="00FE72C8">
              <w:rPr>
                <w:rFonts w:ascii="Arial" w:hAnsi="Arial" w:cs="Arial"/>
                <w:b/>
                <w:bCs/>
                <w:color w:val="1F3864" w:themeColor="accent1" w:themeShade="80"/>
                <w:sz w:val="20"/>
                <w:szCs w:val="20"/>
              </w:rPr>
              <w:t>Priority Target 5</w:t>
            </w:r>
            <w:r w:rsidR="00B679C8">
              <w:rPr>
                <w:rFonts w:ascii="Arial" w:hAnsi="Arial" w:cs="Arial"/>
                <w:b/>
                <w:bCs/>
                <w:color w:val="1F3864" w:themeColor="accent1" w:themeShade="80"/>
                <w:sz w:val="20"/>
                <w:szCs w:val="20"/>
              </w:rPr>
              <w:t xml:space="preserve">       </w:t>
            </w:r>
            <w:r w:rsidR="00B679C8" w:rsidRPr="00B679C8">
              <w:rPr>
                <w:rFonts w:ascii="Arial" w:hAnsi="Arial" w:cs="Arial"/>
                <w:b/>
                <w:bCs/>
                <w:color w:val="1F3864" w:themeColor="accent1" w:themeShade="80"/>
                <w:sz w:val="20"/>
                <w:szCs w:val="20"/>
                <w:lang w:eastAsia="en-GB"/>
              </w:rPr>
              <w:t>Strengthen the accuracy and consistency of teacher assessment across all subjects by refining and standardising assessment criteria to ensure accuracy, consistency and inform effective teaching.</w:t>
            </w:r>
          </w:p>
          <w:p w14:paraId="3BBDF76B" w14:textId="2494F3ED" w:rsidR="007C46C4" w:rsidRPr="00FE72C8" w:rsidRDefault="007C46C4" w:rsidP="00275785">
            <w:pPr>
              <w:rPr>
                <w:rFonts w:ascii="Arial" w:hAnsi="Arial" w:cs="Arial"/>
                <w:b/>
                <w:bCs/>
                <w:color w:val="1F3864" w:themeColor="accent1" w:themeShade="80"/>
                <w:sz w:val="20"/>
                <w:szCs w:val="20"/>
              </w:rPr>
            </w:pPr>
          </w:p>
        </w:tc>
      </w:tr>
      <w:tr w:rsidR="00B679C8" w:rsidRPr="00FE72C8" w14:paraId="66A7D44C" w14:textId="77777777" w:rsidTr="00B679C8">
        <w:trPr>
          <w:trHeight w:val="735"/>
        </w:trPr>
        <w:tc>
          <w:tcPr>
            <w:tcW w:w="715" w:type="pct"/>
            <w:vAlign w:val="center"/>
          </w:tcPr>
          <w:p w14:paraId="22DFD131"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egoe UI" w:cs="Segoe UI"/>
                <w:sz w:val="21"/>
                <w:szCs w:val="21"/>
                <w:lang w:eastAsia="en-GB"/>
              </w:rPr>
              <w:t xml:space="preserve">To strengthen the accuracy and consistency of assessment across EYFS by refining and standardising assessment criteria and processes, ensuring assessment information is used effectively to identify gaps in learning and inform high-quality </w:t>
            </w:r>
            <w:r w:rsidRPr="000B4FE3">
              <w:rPr>
                <w:rFonts w:ascii="Segoe UI" w:hAnsi="Segoe UI" w:cs="Segoe UI"/>
                <w:sz w:val="21"/>
                <w:szCs w:val="21"/>
                <w:lang w:eastAsia="en-GB"/>
              </w:rPr>
              <w:lastRenderedPageBreak/>
              <w:t>provision, outdoor learning opportunities and targeted intervention groups.</w:t>
            </w:r>
          </w:p>
          <w:p w14:paraId="0A2E8957" w14:textId="77777777" w:rsidR="00B679C8" w:rsidRDefault="00B679C8" w:rsidP="00B679C8">
            <w:pPr>
              <w:spacing w:after="200"/>
              <w:contextualSpacing/>
              <w:rPr>
                <w:rFonts w:ascii="Arial" w:hAnsi="Arial" w:cs="Arial"/>
                <w:color w:val="1F3864" w:themeColor="accent1" w:themeShade="80"/>
                <w:sz w:val="20"/>
                <w:szCs w:val="20"/>
              </w:rPr>
            </w:pPr>
          </w:p>
          <w:p w14:paraId="5745A45E" w14:textId="77777777" w:rsidR="00B679C8" w:rsidRDefault="00B679C8" w:rsidP="00B679C8">
            <w:pPr>
              <w:spacing w:after="200"/>
              <w:contextualSpacing/>
              <w:rPr>
                <w:rFonts w:ascii="Arial" w:hAnsi="Arial" w:cs="Arial"/>
                <w:color w:val="1F3864" w:themeColor="accent1" w:themeShade="80"/>
                <w:sz w:val="20"/>
                <w:szCs w:val="20"/>
              </w:rPr>
            </w:pPr>
          </w:p>
          <w:p w14:paraId="40A1824A" w14:textId="77777777" w:rsidR="00B679C8" w:rsidRDefault="00B679C8" w:rsidP="00B679C8">
            <w:pPr>
              <w:spacing w:after="200"/>
              <w:contextualSpacing/>
              <w:rPr>
                <w:rFonts w:ascii="Arial" w:hAnsi="Arial" w:cs="Arial"/>
                <w:color w:val="1F3864" w:themeColor="accent1" w:themeShade="80"/>
                <w:sz w:val="20"/>
                <w:szCs w:val="20"/>
              </w:rPr>
            </w:pPr>
          </w:p>
          <w:p w14:paraId="771EF116" w14:textId="77777777" w:rsidR="00B679C8" w:rsidRDefault="00B679C8" w:rsidP="00B679C8">
            <w:pPr>
              <w:spacing w:after="200"/>
              <w:contextualSpacing/>
              <w:rPr>
                <w:rFonts w:ascii="Arial" w:hAnsi="Arial" w:cs="Arial"/>
                <w:color w:val="1F3864" w:themeColor="accent1" w:themeShade="80"/>
                <w:sz w:val="20"/>
                <w:szCs w:val="20"/>
              </w:rPr>
            </w:pPr>
          </w:p>
          <w:p w14:paraId="09E1E084" w14:textId="77777777" w:rsidR="00B679C8" w:rsidRDefault="00B679C8" w:rsidP="00B679C8">
            <w:pPr>
              <w:spacing w:after="200"/>
              <w:contextualSpacing/>
              <w:rPr>
                <w:rFonts w:ascii="Arial" w:hAnsi="Arial" w:cs="Arial"/>
                <w:color w:val="1F3864" w:themeColor="accent1" w:themeShade="80"/>
                <w:sz w:val="20"/>
                <w:szCs w:val="20"/>
              </w:rPr>
            </w:pPr>
          </w:p>
          <w:p w14:paraId="6FE17A3B" w14:textId="77777777" w:rsidR="00B679C8" w:rsidRDefault="00B679C8" w:rsidP="00B679C8">
            <w:pPr>
              <w:spacing w:after="200"/>
              <w:contextualSpacing/>
              <w:rPr>
                <w:rFonts w:ascii="Arial" w:hAnsi="Arial" w:cs="Arial"/>
                <w:color w:val="1F3864" w:themeColor="accent1" w:themeShade="80"/>
                <w:sz w:val="20"/>
                <w:szCs w:val="20"/>
              </w:rPr>
            </w:pPr>
          </w:p>
          <w:p w14:paraId="01BACAC3" w14:textId="77777777" w:rsidR="00B679C8" w:rsidRDefault="00B679C8" w:rsidP="00B679C8">
            <w:pPr>
              <w:spacing w:after="200"/>
              <w:contextualSpacing/>
              <w:rPr>
                <w:rFonts w:ascii="Arial" w:hAnsi="Arial" w:cs="Arial"/>
                <w:color w:val="1F3864" w:themeColor="accent1" w:themeShade="80"/>
                <w:sz w:val="20"/>
                <w:szCs w:val="20"/>
              </w:rPr>
            </w:pPr>
          </w:p>
          <w:p w14:paraId="2D6DD0D9" w14:textId="77777777" w:rsidR="00B679C8" w:rsidRDefault="00B679C8" w:rsidP="00B679C8">
            <w:pPr>
              <w:spacing w:after="200"/>
              <w:contextualSpacing/>
              <w:rPr>
                <w:rFonts w:ascii="Arial" w:hAnsi="Arial" w:cs="Arial"/>
                <w:color w:val="1F3864" w:themeColor="accent1" w:themeShade="80"/>
                <w:sz w:val="20"/>
                <w:szCs w:val="20"/>
              </w:rPr>
            </w:pPr>
          </w:p>
          <w:p w14:paraId="231C1CA5" w14:textId="77777777" w:rsidR="00B679C8" w:rsidRDefault="00B679C8" w:rsidP="00B679C8">
            <w:pPr>
              <w:spacing w:after="200"/>
              <w:contextualSpacing/>
              <w:rPr>
                <w:rFonts w:ascii="Arial" w:hAnsi="Arial" w:cs="Arial"/>
                <w:color w:val="1F3864" w:themeColor="accent1" w:themeShade="80"/>
                <w:sz w:val="20"/>
                <w:szCs w:val="20"/>
              </w:rPr>
            </w:pPr>
          </w:p>
          <w:p w14:paraId="3BBE2E40" w14:textId="77777777" w:rsidR="00B679C8" w:rsidRDefault="00B679C8" w:rsidP="00B679C8">
            <w:pPr>
              <w:spacing w:after="200"/>
              <w:contextualSpacing/>
              <w:rPr>
                <w:rFonts w:ascii="Arial" w:hAnsi="Arial" w:cs="Arial"/>
                <w:color w:val="1F3864" w:themeColor="accent1" w:themeShade="80"/>
                <w:sz w:val="20"/>
                <w:szCs w:val="20"/>
              </w:rPr>
            </w:pPr>
          </w:p>
          <w:p w14:paraId="68C6F4B7" w14:textId="77777777" w:rsidR="00B679C8" w:rsidRDefault="00B679C8" w:rsidP="00B679C8">
            <w:pPr>
              <w:spacing w:after="200"/>
              <w:contextualSpacing/>
              <w:rPr>
                <w:rFonts w:ascii="Arial" w:hAnsi="Arial" w:cs="Arial"/>
                <w:color w:val="1F3864" w:themeColor="accent1" w:themeShade="80"/>
                <w:sz w:val="20"/>
                <w:szCs w:val="20"/>
              </w:rPr>
            </w:pPr>
          </w:p>
          <w:p w14:paraId="29942E21" w14:textId="77777777" w:rsidR="00B679C8" w:rsidRDefault="00B679C8" w:rsidP="00B679C8">
            <w:pPr>
              <w:spacing w:after="200"/>
              <w:contextualSpacing/>
              <w:rPr>
                <w:rFonts w:ascii="Arial" w:hAnsi="Arial" w:cs="Arial"/>
                <w:color w:val="1F3864" w:themeColor="accent1" w:themeShade="80"/>
                <w:sz w:val="20"/>
                <w:szCs w:val="20"/>
              </w:rPr>
            </w:pPr>
          </w:p>
          <w:p w14:paraId="2CD158EB" w14:textId="33A705BF" w:rsidR="00B679C8" w:rsidRPr="00B679C8" w:rsidRDefault="00B679C8" w:rsidP="00B679C8">
            <w:pPr>
              <w:spacing w:after="200"/>
              <w:contextualSpacing/>
              <w:rPr>
                <w:rFonts w:ascii="Arial" w:hAnsi="Arial" w:cs="Arial"/>
                <w:color w:val="1F3864" w:themeColor="accent1" w:themeShade="80"/>
                <w:sz w:val="20"/>
                <w:szCs w:val="20"/>
              </w:rPr>
            </w:pPr>
          </w:p>
        </w:tc>
        <w:tc>
          <w:tcPr>
            <w:tcW w:w="1117" w:type="pct"/>
            <w:gridSpan w:val="2"/>
            <w:vAlign w:val="center"/>
          </w:tcPr>
          <w:p w14:paraId="5F8FC0DA"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lastRenderedPageBreak/>
              <w:t></w:t>
            </w:r>
            <w:r w:rsidRPr="000B4FE3">
              <w:rPr>
                <w:rFonts w:ascii="Segoe UI" w:hAnsi="Segoe UI" w:cs="Segoe UI"/>
                <w:sz w:val="21"/>
                <w:szCs w:val="21"/>
                <w:lang w:eastAsia="en-GB"/>
              </w:rPr>
              <w:t xml:space="preserve">  A consistent approach to assessment is embedded across the EYFS team. </w:t>
            </w:r>
          </w:p>
          <w:p w14:paraId="28E65D50"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Assessment judgements are accurate, reliable and moderated regularly. </w:t>
            </w:r>
          </w:p>
          <w:p w14:paraId="2896920B"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Assessment information is used effectively to identify individual and cohort gaps in learning. </w:t>
            </w:r>
          </w:p>
          <w:p w14:paraId="336D6A84"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Provision enhancements are planned in response to assessment findings. </w:t>
            </w:r>
          </w:p>
          <w:p w14:paraId="079C1E7A"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lastRenderedPageBreak/>
              <w:t></w:t>
            </w:r>
            <w:r w:rsidRPr="000B4FE3">
              <w:rPr>
                <w:rFonts w:ascii="Segoe UI" w:hAnsi="Segoe UI" w:cs="Segoe UI"/>
                <w:sz w:val="21"/>
                <w:szCs w:val="21"/>
                <w:lang w:eastAsia="en-GB"/>
              </w:rPr>
              <w:t xml:space="preserve">  The outdoor learning environment is adapted to address identified next steps and curriculum priorities. </w:t>
            </w:r>
          </w:p>
          <w:p w14:paraId="0B49DD9B"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Targeted intervention groups are established and regularly reviewed based on assessment outcomes. </w:t>
            </w:r>
          </w:p>
          <w:p w14:paraId="2BC72806"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Staff confidently use assessment information to inform teaching, provision and intervention planning. </w:t>
            </w:r>
          </w:p>
          <w:p w14:paraId="1257482C"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Children demonstrate accelerated progress in identified areas of need. </w:t>
            </w:r>
          </w:p>
          <w:p w14:paraId="3978793B"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An increased proportion of children are on track to achieve the Early Learning Goals and a Good Level of Development (GLD).</w:t>
            </w:r>
          </w:p>
          <w:p w14:paraId="764CFFEB" w14:textId="6A8B5775" w:rsidR="00B679C8" w:rsidRPr="00B679C8" w:rsidRDefault="00B679C8" w:rsidP="00B679C8">
            <w:pPr>
              <w:rPr>
                <w:rFonts w:ascii="Arial" w:hAnsi="Arial" w:cs="Arial"/>
                <w:color w:val="1F3864" w:themeColor="accent1" w:themeShade="80"/>
                <w:sz w:val="20"/>
                <w:szCs w:val="20"/>
              </w:rPr>
            </w:pPr>
          </w:p>
        </w:tc>
        <w:tc>
          <w:tcPr>
            <w:tcW w:w="1487" w:type="pct"/>
            <w:gridSpan w:val="4"/>
            <w:vAlign w:val="center"/>
          </w:tcPr>
          <w:p w14:paraId="4AA32E3F"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lastRenderedPageBreak/>
              <w:t></w:t>
            </w:r>
            <w:r w:rsidRPr="000B4FE3">
              <w:rPr>
                <w:rFonts w:ascii="Segoe UI" w:hAnsi="Segoe UI" w:cs="Segoe UI"/>
                <w:sz w:val="21"/>
                <w:szCs w:val="21"/>
                <w:lang w:eastAsia="en-GB"/>
              </w:rPr>
              <w:t xml:space="preserve">  Review and standardise EYFS assessment criteria and expectations. </w:t>
            </w:r>
          </w:p>
          <w:p w14:paraId="7131F9AE"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Conduct regular moderation meetings to ensure consistency of judgements. </w:t>
            </w:r>
          </w:p>
          <w:p w14:paraId="25447D67"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Analyse assessment data half-termly to identify gaps in learning. </w:t>
            </w:r>
          </w:p>
          <w:p w14:paraId="4F8B8F31"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Use assessment outcomes to inform continuous provision and enhancements. </w:t>
            </w:r>
          </w:p>
          <w:p w14:paraId="38011C2C"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Develop the outdoor environment to address identified curriculum priorities and next steps. </w:t>
            </w:r>
          </w:p>
          <w:p w14:paraId="1DA2A7DE"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Implement and monitor targeted intervention groups for children requiring additional support. </w:t>
            </w:r>
          </w:p>
          <w:p w14:paraId="040EA800"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lastRenderedPageBreak/>
              <w:t></w:t>
            </w:r>
            <w:r w:rsidRPr="000B4FE3">
              <w:rPr>
                <w:rFonts w:ascii="Segoe UI" w:hAnsi="Segoe UI" w:cs="Segoe UI"/>
                <w:sz w:val="21"/>
                <w:szCs w:val="21"/>
                <w:lang w:eastAsia="en-GB"/>
              </w:rPr>
              <w:t xml:space="preserve">  Hold regular pupil progress meetings to review the impact of provision and interventions. </w:t>
            </w:r>
          </w:p>
          <w:p w14:paraId="414FABE4"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Provide staff training on effective assessment, observation and planning linked to identified needs. </w:t>
            </w:r>
          </w:p>
          <w:p w14:paraId="288223E5"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Monitor the effectiveness of provision, outdoor learning and interventions through observations and progress reviews.</w:t>
            </w:r>
          </w:p>
          <w:p w14:paraId="70308969" w14:textId="7142D0C2" w:rsidR="00B679C8" w:rsidRDefault="00B679C8" w:rsidP="00B679C8">
            <w:pPr>
              <w:rPr>
                <w:rFonts w:ascii="Arial" w:hAnsi="Arial" w:cs="Arial"/>
                <w:color w:val="1F3864" w:themeColor="accent1" w:themeShade="80"/>
                <w:sz w:val="20"/>
                <w:szCs w:val="20"/>
              </w:rPr>
            </w:pPr>
          </w:p>
          <w:p w14:paraId="5AE6C2C0" w14:textId="77777777" w:rsidR="00B679C8" w:rsidRDefault="00B679C8" w:rsidP="00B679C8">
            <w:pPr>
              <w:rPr>
                <w:rFonts w:ascii="Arial" w:hAnsi="Arial" w:cs="Arial"/>
                <w:bCs/>
                <w:color w:val="1F3864" w:themeColor="accent1" w:themeShade="80"/>
                <w:sz w:val="20"/>
                <w:szCs w:val="20"/>
              </w:rPr>
            </w:pPr>
          </w:p>
          <w:p w14:paraId="22A057E2" w14:textId="77777777" w:rsidR="00B679C8" w:rsidRDefault="00B679C8" w:rsidP="00B679C8">
            <w:pPr>
              <w:rPr>
                <w:rFonts w:ascii="Arial" w:hAnsi="Arial" w:cs="Arial"/>
                <w:bCs/>
                <w:color w:val="1F3864" w:themeColor="accent1" w:themeShade="80"/>
                <w:sz w:val="20"/>
                <w:szCs w:val="20"/>
              </w:rPr>
            </w:pPr>
          </w:p>
          <w:p w14:paraId="5DA49C15" w14:textId="77777777" w:rsidR="00B679C8" w:rsidRDefault="00B679C8" w:rsidP="00B679C8">
            <w:pPr>
              <w:rPr>
                <w:rFonts w:ascii="Arial" w:hAnsi="Arial" w:cs="Arial"/>
                <w:bCs/>
                <w:color w:val="1F3864" w:themeColor="accent1" w:themeShade="80"/>
                <w:sz w:val="20"/>
                <w:szCs w:val="20"/>
              </w:rPr>
            </w:pPr>
          </w:p>
          <w:p w14:paraId="443B0959" w14:textId="77777777" w:rsidR="00B679C8" w:rsidRDefault="00B679C8" w:rsidP="00B679C8">
            <w:pPr>
              <w:rPr>
                <w:rFonts w:ascii="Arial" w:hAnsi="Arial" w:cs="Arial"/>
                <w:bCs/>
                <w:color w:val="1F3864" w:themeColor="accent1" w:themeShade="80"/>
                <w:sz w:val="20"/>
                <w:szCs w:val="20"/>
              </w:rPr>
            </w:pPr>
          </w:p>
          <w:p w14:paraId="359EEBB1" w14:textId="77777777" w:rsidR="00B679C8" w:rsidRDefault="00B679C8" w:rsidP="00B679C8">
            <w:pPr>
              <w:rPr>
                <w:rFonts w:ascii="Arial" w:hAnsi="Arial" w:cs="Arial"/>
                <w:bCs/>
                <w:color w:val="1F3864" w:themeColor="accent1" w:themeShade="80"/>
                <w:sz w:val="20"/>
                <w:szCs w:val="20"/>
              </w:rPr>
            </w:pPr>
          </w:p>
          <w:p w14:paraId="120563D7" w14:textId="77777777" w:rsidR="00B679C8" w:rsidRDefault="00B679C8" w:rsidP="00B679C8">
            <w:pPr>
              <w:rPr>
                <w:rFonts w:ascii="Arial" w:hAnsi="Arial" w:cs="Arial"/>
                <w:bCs/>
                <w:color w:val="1F3864" w:themeColor="accent1" w:themeShade="80"/>
                <w:sz w:val="20"/>
                <w:szCs w:val="20"/>
              </w:rPr>
            </w:pPr>
          </w:p>
          <w:p w14:paraId="24C4A77D" w14:textId="77777777" w:rsidR="00B679C8" w:rsidRDefault="00B679C8" w:rsidP="00B679C8">
            <w:pPr>
              <w:rPr>
                <w:rFonts w:ascii="Arial" w:hAnsi="Arial" w:cs="Arial"/>
                <w:bCs/>
                <w:color w:val="1F3864" w:themeColor="accent1" w:themeShade="80"/>
                <w:sz w:val="20"/>
                <w:szCs w:val="20"/>
              </w:rPr>
            </w:pPr>
          </w:p>
          <w:p w14:paraId="4B34B65F" w14:textId="77777777" w:rsidR="00B679C8" w:rsidRDefault="00B679C8" w:rsidP="00B679C8">
            <w:pPr>
              <w:rPr>
                <w:rFonts w:ascii="Arial" w:hAnsi="Arial" w:cs="Arial"/>
                <w:bCs/>
                <w:color w:val="1F3864" w:themeColor="accent1" w:themeShade="80"/>
                <w:sz w:val="20"/>
                <w:szCs w:val="20"/>
              </w:rPr>
            </w:pPr>
          </w:p>
          <w:p w14:paraId="3AE1E7C3" w14:textId="77777777" w:rsidR="00B679C8" w:rsidRDefault="00B679C8" w:rsidP="00B679C8">
            <w:pPr>
              <w:rPr>
                <w:rFonts w:ascii="Arial" w:hAnsi="Arial" w:cs="Arial"/>
                <w:bCs/>
                <w:color w:val="1F3864" w:themeColor="accent1" w:themeShade="80"/>
                <w:sz w:val="20"/>
                <w:szCs w:val="20"/>
              </w:rPr>
            </w:pPr>
          </w:p>
          <w:p w14:paraId="0302BE54" w14:textId="40453A7F" w:rsidR="00B679C8" w:rsidRPr="00B679C8" w:rsidRDefault="00B679C8" w:rsidP="00B679C8">
            <w:pPr>
              <w:rPr>
                <w:rFonts w:ascii="Arial" w:hAnsi="Arial" w:cs="Arial"/>
                <w:bCs/>
                <w:color w:val="1F3864" w:themeColor="accent1" w:themeShade="80"/>
                <w:sz w:val="20"/>
                <w:szCs w:val="20"/>
              </w:rPr>
            </w:pPr>
          </w:p>
        </w:tc>
        <w:tc>
          <w:tcPr>
            <w:tcW w:w="1057" w:type="pct"/>
            <w:gridSpan w:val="3"/>
            <w:vAlign w:val="center"/>
          </w:tcPr>
          <w:p w14:paraId="07EB150C"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lastRenderedPageBreak/>
              <w:t></w:t>
            </w:r>
            <w:r w:rsidRPr="000B4FE3">
              <w:rPr>
                <w:rFonts w:ascii="Segoe UI" w:hAnsi="Segoe UI" w:cs="Segoe UI"/>
                <w:sz w:val="21"/>
                <w:szCs w:val="21"/>
                <w:lang w:eastAsia="en-GB"/>
              </w:rPr>
              <w:t xml:space="preserve">  Half-termly assessment and data reviews. </w:t>
            </w:r>
          </w:p>
          <w:p w14:paraId="60932734"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Termly moderation meetings. </w:t>
            </w:r>
          </w:p>
          <w:p w14:paraId="0853D86D"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Provision and outdoor area audits. </w:t>
            </w:r>
          </w:p>
          <w:p w14:paraId="13A27B9B"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Intervention tracking and impact reviews. </w:t>
            </w:r>
          </w:p>
          <w:p w14:paraId="5B6CB103"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Planning scrutiny. </w:t>
            </w:r>
          </w:p>
          <w:p w14:paraId="73CFB9C5"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Learning walks and observations. </w:t>
            </w:r>
          </w:p>
          <w:p w14:paraId="0316BA2C"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Pupil progress meetings. </w:t>
            </w:r>
          </w:p>
          <w:p w14:paraId="19F0EA5A"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EYFS leader monitoring reports.</w:t>
            </w:r>
          </w:p>
          <w:p w14:paraId="1CCAA27C" w14:textId="77777777" w:rsidR="00B679C8" w:rsidRDefault="00B679C8" w:rsidP="00B679C8">
            <w:pPr>
              <w:rPr>
                <w:rFonts w:ascii="Arial" w:hAnsi="Arial" w:cs="Arial"/>
                <w:bCs/>
                <w:color w:val="1F3864" w:themeColor="accent1" w:themeShade="80"/>
                <w:sz w:val="20"/>
                <w:szCs w:val="20"/>
              </w:rPr>
            </w:pPr>
          </w:p>
          <w:p w14:paraId="30C3D39B" w14:textId="77777777" w:rsidR="00B679C8" w:rsidRDefault="00B679C8" w:rsidP="00B679C8">
            <w:pPr>
              <w:rPr>
                <w:rFonts w:ascii="Arial" w:hAnsi="Arial" w:cs="Arial"/>
                <w:bCs/>
                <w:color w:val="1F3864" w:themeColor="accent1" w:themeShade="80"/>
                <w:sz w:val="20"/>
                <w:szCs w:val="20"/>
              </w:rPr>
            </w:pPr>
          </w:p>
          <w:p w14:paraId="1AA4FE61" w14:textId="77777777" w:rsidR="00B679C8" w:rsidRDefault="00B679C8" w:rsidP="00B679C8">
            <w:pPr>
              <w:rPr>
                <w:rFonts w:ascii="Arial" w:hAnsi="Arial" w:cs="Arial"/>
                <w:bCs/>
                <w:color w:val="1F3864" w:themeColor="accent1" w:themeShade="80"/>
                <w:sz w:val="20"/>
                <w:szCs w:val="20"/>
              </w:rPr>
            </w:pPr>
          </w:p>
          <w:p w14:paraId="3B48C0B0" w14:textId="77777777" w:rsidR="00B679C8" w:rsidRDefault="00B679C8" w:rsidP="00B679C8">
            <w:pPr>
              <w:rPr>
                <w:rFonts w:ascii="Arial" w:hAnsi="Arial" w:cs="Arial"/>
                <w:bCs/>
                <w:color w:val="1F3864" w:themeColor="accent1" w:themeShade="80"/>
                <w:sz w:val="20"/>
                <w:szCs w:val="20"/>
              </w:rPr>
            </w:pPr>
          </w:p>
          <w:p w14:paraId="4D3213CB" w14:textId="77777777" w:rsidR="00B679C8" w:rsidRDefault="00B679C8" w:rsidP="00B679C8">
            <w:pPr>
              <w:rPr>
                <w:rFonts w:ascii="Arial" w:hAnsi="Arial" w:cs="Arial"/>
                <w:bCs/>
                <w:color w:val="1F3864" w:themeColor="accent1" w:themeShade="80"/>
                <w:sz w:val="20"/>
                <w:szCs w:val="20"/>
              </w:rPr>
            </w:pPr>
          </w:p>
          <w:p w14:paraId="25B0DC57" w14:textId="77777777" w:rsidR="00B679C8" w:rsidRDefault="00B679C8" w:rsidP="00B679C8">
            <w:pPr>
              <w:rPr>
                <w:rFonts w:ascii="Arial" w:hAnsi="Arial" w:cs="Arial"/>
                <w:bCs/>
                <w:color w:val="1F3864" w:themeColor="accent1" w:themeShade="80"/>
                <w:sz w:val="20"/>
                <w:szCs w:val="20"/>
              </w:rPr>
            </w:pPr>
          </w:p>
          <w:p w14:paraId="180A6AE7" w14:textId="77777777" w:rsidR="00B679C8" w:rsidRDefault="00B679C8" w:rsidP="00B679C8">
            <w:pPr>
              <w:rPr>
                <w:rFonts w:ascii="Arial" w:hAnsi="Arial" w:cs="Arial"/>
                <w:bCs/>
                <w:color w:val="1F3864" w:themeColor="accent1" w:themeShade="80"/>
                <w:sz w:val="20"/>
                <w:szCs w:val="20"/>
              </w:rPr>
            </w:pPr>
          </w:p>
          <w:p w14:paraId="277C9E78" w14:textId="77777777" w:rsidR="00B679C8" w:rsidRDefault="00B679C8" w:rsidP="00B679C8">
            <w:pPr>
              <w:rPr>
                <w:rFonts w:ascii="Arial" w:hAnsi="Arial" w:cs="Arial"/>
                <w:bCs/>
                <w:color w:val="1F3864" w:themeColor="accent1" w:themeShade="80"/>
                <w:sz w:val="20"/>
                <w:szCs w:val="20"/>
              </w:rPr>
            </w:pPr>
          </w:p>
          <w:p w14:paraId="69EEBFB4" w14:textId="77777777" w:rsidR="00B679C8" w:rsidRDefault="00B679C8" w:rsidP="00B679C8">
            <w:pPr>
              <w:rPr>
                <w:rFonts w:ascii="Arial" w:hAnsi="Arial" w:cs="Arial"/>
                <w:bCs/>
                <w:color w:val="1F3864" w:themeColor="accent1" w:themeShade="80"/>
                <w:sz w:val="20"/>
                <w:szCs w:val="20"/>
              </w:rPr>
            </w:pPr>
          </w:p>
          <w:p w14:paraId="1B4C5BFC" w14:textId="72D82ACC" w:rsidR="00B679C8" w:rsidRPr="00B679C8" w:rsidRDefault="00B679C8" w:rsidP="00B679C8">
            <w:pPr>
              <w:rPr>
                <w:rFonts w:ascii="Arial" w:hAnsi="Arial" w:cs="Arial"/>
                <w:bCs/>
                <w:color w:val="1F3864" w:themeColor="accent1" w:themeShade="80"/>
                <w:sz w:val="20"/>
                <w:szCs w:val="20"/>
              </w:rPr>
            </w:pPr>
          </w:p>
        </w:tc>
        <w:tc>
          <w:tcPr>
            <w:tcW w:w="446" w:type="pct"/>
          </w:tcPr>
          <w:p w14:paraId="5B718041" w14:textId="77777777" w:rsidR="00B679C8" w:rsidRPr="00FE72C8" w:rsidRDefault="00B679C8" w:rsidP="00B679C8">
            <w:pPr>
              <w:rPr>
                <w:rFonts w:ascii="Arial" w:hAnsi="Arial" w:cs="Arial"/>
                <w:color w:val="1F3864" w:themeColor="accent1" w:themeShade="80"/>
                <w:sz w:val="20"/>
                <w:szCs w:val="20"/>
              </w:rPr>
            </w:pPr>
          </w:p>
        </w:tc>
        <w:tc>
          <w:tcPr>
            <w:tcW w:w="178" w:type="pct"/>
            <w:gridSpan w:val="2"/>
          </w:tcPr>
          <w:p w14:paraId="2C5226D0" w14:textId="77777777" w:rsidR="00B679C8" w:rsidRPr="00FE72C8" w:rsidRDefault="00B679C8" w:rsidP="00B679C8">
            <w:pPr>
              <w:rPr>
                <w:rFonts w:ascii="Arial" w:hAnsi="Arial" w:cs="Arial"/>
                <w:bCs/>
                <w:color w:val="1F3864" w:themeColor="accent1" w:themeShade="80"/>
                <w:sz w:val="20"/>
                <w:szCs w:val="20"/>
              </w:rPr>
            </w:pPr>
          </w:p>
        </w:tc>
      </w:tr>
      <w:tr w:rsidR="00FE72C8" w:rsidRPr="00FE72C8" w14:paraId="36A3B3A6" w14:textId="77777777" w:rsidTr="007C46C4">
        <w:trPr>
          <w:trHeight w:val="735"/>
        </w:trPr>
        <w:tc>
          <w:tcPr>
            <w:tcW w:w="5000" w:type="pct"/>
            <w:gridSpan w:val="13"/>
            <w:shd w:val="clear" w:color="auto" w:fill="DEEAF6" w:themeFill="accent5" w:themeFillTint="33"/>
          </w:tcPr>
          <w:p w14:paraId="05EB803F" w14:textId="0DFE9F1E" w:rsidR="007C46C4" w:rsidRPr="00FE72C8" w:rsidRDefault="007C46C4" w:rsidP="00275785">
            <w:p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Priority Target 6</w:t>
            </w:r>
          </w:p>
        </w:tc>
      </w:tr>
      <w:tr w:rsidR="00FE72C8" w:rsidRPr="00FE72C8" w14:paraId="2B85007B" w14:textId="77777777" w:rsidTr="00B679C8">
        <w:trPr>
          <w:trHeight w:val="735"/>
        </w:trPr>
        <w:tc>
          <w:tcPr>
            <w:tcW w:w="715" w:type="pct"/>
          </w:tcPr>
          <w:p w14:paraId="6A1B0122"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egoe UI" w:cs="Segoe UI"/>
                <w:sz w:val="21"/>
                <w:szCs w:val="21"/>
                <w:lang w:eastAsia="en-GB"/>
              </w:rPr>
              <w:t xml:space="preserve">To successfully implement and embed the use of curriculum skills progression documents across the Early Years curriculum, ensuring assessment information accurately identifies gaps in learning, informs targeted teaching and supports improved </w:t>
            </w:r>
            <w:r w:rsidRPr="000B4FE3">
              <w:rPr>
                <w:rFonts w:ascii="Segoe UI" w:hAnsi="Segoe UI" w:cs="Segoe UI"/>
                <w:sz w:val="21"/>
                <w:szCs w:val="21"/>
                <w:lang w:eastAsia="en-GB"/>
              </w:rPr>
              <w:lastRenderedPageBreak/>
              <w:t>Good Level of Development (GLD) outcomes.</w:t>
            </w:r>
          </w:p>
          <w:p w14:paraId="472D68EF" w14:textId="77777777" w:rsidR="007C46C4" w:rsidRPr="00B6325B" w:rsidRDefault="007C46C4" w:rsidP="00761A9F">
            <w:pPr>
              <w:spacing w:line="300" w:lineRule="atLeast"/>
              <w:rPr>
                <w:rFonts w:ascii="Arial" w:hAnsi="Arial" w:cs="Arial"/>
                <w:color w:val="1F3864" w:themeColor="accent1" w:themeShade="80"/>
                <w:sz w:val="20"/>
                <w:szCs w:val="20"/>
              </w:rPr>
            </w:pPr>
          </w:p>
        </w:tc>
        <w:tc>
          <w:tcPr>
            <w:tcW w:w="1117" w:type="pct"/>
            <w:gridSpan w:val="2"/>
          </w:tcPr>
          <w:p w14:paraId="6257EBEB"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lastRenderedPageBreak/>
              <w:t></w:t>
            </w:r>
            <w:r w:rsidRPr="000B4FE3">
              <w:rPr>
                <w:rFonts w:ascii="Segoe UI" w:hAnsi="Segoe UI" w:cs="Segoe UI"/>
                <w:sz w:val="21"/>
                <w:szCs w:val="21"/>
                <w:lang w:eastAsia="en-GB"/>
              </w:rPr>
              <w:t xml:space="preserve">  Review and refine curriculum skills progression documents to ensure clear progression from starting points to end-of-year expectations. </w:t>
            </w:r>
          </w:p>
          <w:p w14:paraId="620293A6"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Provide staff training on the effective use of progression documents for assessment and planning. </w:t>
            </w:r>
          </w:p>
          <w:p w14:paraId="17E73C1F"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Embed the use of progression documents within weekly planning and assessment cycles. </w:t>
            </w:r>
          </w:p>
          <w:p w14:paraId="1CFA2B8F"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Use assessment information to identify gaps in learning and plan targeted interventions. </w:t>
            </w:r>
          </w:p>
          <w:p w14:paraId="4465CC90"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lastRenderedPageBreak/>
              <w:t></w:t>
            </w:r>
            <w:r w:rsidRPr="000B4FE3">
              <w:rPr>
                <w:rFonts w:ascii="Segoe UI" w:hAnsi="Segoe UI" w:cs="Segoe UI"/>
                <w:sz w:val="21"/>
                <w:szCs w:val="21"/>
                <w:lang w:eastAsia="en-GB"/>
              </w:rPr>
              <w:t xml:space="preserve">  Conduct regular pupil progress meetings to analyse attainment and identify children at risk of not achieving GLD. </w:t>
            </w:r>
          </w:p>
          <w:p w14:paraId="10659252"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Monitor the consistency of staff use of progression documents through planning scrutiny and observations. </w:t>
            </w:r>
          </w:p>
          <w:p w14:paraId="23AB1DBF"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Moderate assessment judgements across the EYFS team to ensure accuracy and consistency. </w:t>
            </w:r>
          </w:p>
          <w:p w14:paraId="76A0E693"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Track the progress of key groups and individual pupils towards GLD throughout the year. </w:t>
            </w:r>
          </w:p>
          <w:p w14:paraId="15BA8C77"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Review the impact of targeted teaching on closing identified gaps in learning.</w:t>
            </w:r>
          </w:p>
          <w:p w14:paraId="341F65C7" w14:textId="77777777" w:rsidR="007C46C4" w:rsidRPr="00B6325B" w:rsidRDefault="007C46C4" w:rsidP="00761A9F">
            <w:pPr>
              <w:spacing w:line="300" w:lineRule="atLeast"/>
              <w:rPr>
                <w:rFonts w:ascii="Arial" w:hAnsi="Arial" w:cs="Arial"/>
                <w:color w:val="1F3864" w:themeColor="accent1" w:themeShade="80"/>
                <w:sz w:val="20"/>
                <w:szCs w:val="20"/>
              </w:rPr>
            </w:pPr>
          </w:p>
        </w:tc>
        <w:tc>
          <w:tcPr>
            <w:tcW w:w="1487" w:type="pct"/>
            <w:gridSpan w:val="4"/>
          </w:tcPr>
          <w:p w14:paraId="6D69E404"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lastRenderedPageBreak/>
              <w:t></w:t>
            </w:r>
            <w:r w:rsidRPr="000B4FE3">
              <w:rPr>
                <w:rFonts w:ascii="Segoe UI" w:hAnsi="Segoe UI" w:cs="Segoe UI"/>
                <w:sz w:val="21"/>
                <w:szCs w:val="21"/>
                <w:lang w:eastAsia="en-GB"/>
              </w:rPr>
              <w:t xml:space="preserve">  Curriculum skills progression documents are consistently used by all staff to inform planning and assessment. </w:t>
            </w:r>
          </w:p>
          <w:p w14:paraId="125D6F3B"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Assessment accurately identifies individual and cohort gaps in learning. </w:t>
            </w:r>
          </w:p>
          <w:p w14:paraId="2580F4FD"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Targeted provision and interventions are planned and implemented in response to identified needs. </w:t>
            </w:r>
          </w:p>
          <w:p w14:paraId="5F435D7B"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Staff demonstrate confidence in using progression documents to make assessment judgements. </w:t>
            </w:r>
          </w:p>
          <w:p w14:paraId="36663424"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Moderation activities confirm that assessments are accurate and consistent across the team. </w:t>
            </w:r>
          </w:p>
          <w:p w14:paraId="09EB179B"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lastRenderedPageBreak/>
              <w:t></w:t>
            </w:r>
            <w:r w:rsidRPr="000B4FE3">
              <w:rPr>
                <w:rFonts w:ascii="Segoe UI" w:hAnsi="Segoe UI" w:cs="Segoe UI"/>
                <w:sz w:val="21"/>
                <w:szCs w:val="21"/>
                <w:lang w:eastAsia="en-GB"/>
              </w:rPr>
              <w:t xml:space="preserve">  Evidence shows gaps in learning are identified early and addressed effectively. </w:t>
            </w:r>
          </w:p>
          <w:p w14:paraId="1AF55693"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An increased proportion of children are on track to achieve GLD throughout the year. </w:t>
            </w:r>
          </w:p>
          <w:p w14:paraId="510700E5"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End-of-year GLD outcomes show improvement and accurately reflect children's attainment.</w:t>
            </w:r>
          </w:p>
          <w:p w14:paraId="33904BAD" w14:textId="77777777" w:rsidR="007C46C4" w:rsidRPr="00B6325B" w:rsidRDefault="007C46C4" w:rsidP="00761A9F">
            <w:pPr>
              <w:spacing w:line="300" w:lineRule="atLeast"/>
              <w:rPr>
                <w:rFonts w:ascii="Arial" w:hAnsi="Arial" w:cs="Arial"/>
                <w:bCs/>
                <w:color w:val="1F3864" w:themeColor="accent1" w:themeShade="80"/>
                <w:sz w:val="20"/>
                <w:szCs w:val="20"/>
              </w:rPr>
            </w:pPr>
          </w:p>
        </w:tc>
        <w:tc>
          <w:tcPr>
            <w:tcW w:w="1057" w:type="pct"/>
            <w:gridSpan w:val="3"/>
          </w:tcPr>
          <w:p w14:paraId="66512857"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lastRenderedPageBreak/>
              <w:t></w:t>
            </w:r>
            <w:r w:rsidRPr="000B4FE3">
              <w:rPr>
                <w:rFonts w:ascii="Segoe UI" w:hAnsi="Segoe UI" w:cs="Segoe UI"/>
                <w:sz w:val="21"/>
                <w:szCs w:val="21"/>
                <w:lang w:eastAsia="en-GB"/>
              </w:rPr>
              <w:t xml:space="preserve">  Half-termly assessment reviews. </w:t>
            </w:r>
          </w:p>
          <w:p w14:paraId="52857AA7"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Termly pupil progress meetings. </w:t>
            </w:r>
          </w:p>
          <w:p w14:paraId="65BF4BD5"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Planning and assessment scrutiny. </w:t>
            </w:r>
          </w:p>
          <w:p w14:paraId="76CD0B2F"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Learning walks and observations. </w:t>
            </w:r>
          </w:p>
          <w:p w14:paraId="3332FDFD"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Moderation of children's learning journeys and evidence. </w:t>
            </w:r>
          </w:p>
          <w:p w14:paraId="4646ACC0"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Analysis of GLD tracking data and progress of key groups. </w:t>
            </w:r>
          </w:p>
          <w:p w14:paraId="205E136D"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Staff feedback and professional dialogue. </w:t>
            </w:r>
          </w:p>
          <w:p w14:paraId="541BEF9F"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lastRenderedPageBreak/>
              <w:t></w:t>
            </w:r>
            <w:r w:rsidRPr="000B4FE3">
              <w:rPr>
                <w:rFonts w:ascii="Segoe UI" w:hAnsi="Segoe UI" w:cs="Segoe UI"/>
                <w:sz w:val="21"/>
                <w:szCs w:val="21"/>
                <w:lang w:eastAsia="en-GB"/>
              </w:rPr>
              <w:t xml:space="preserve">  Subject/EYFS leader monitoring reports.</w:t>
            </w:r>
          </w:p>
          <w:p w14:paraId="41B3F128" w14:textId="184AAAC6" w:rsidR="007C46C4" w:rsidRPr="00B6325B" w:rsidRDefault="007C46C4" w:rsidP="00761A9F">
            <w:pPr>
              <w:spacing w:line="300" w:lineRule="atLeast"/>
              <w:rPr>
                <w:rFonts w:ascii="Arial" w:hAnsi="Arial" w:cs="Arial"/>
                <w:bCs/>
                <w:color w:val="1F3864" w:themeColor="accent1" w:themeShade="80"/>
                <w:sz w:val="20"/>
                <w:szCs w:val="20"/>
              </w:rPr>
            </w:pPr>
          </w:p>
        </w:tc>
        <w:tc>
          <w:tcPr>
            <w:tcW w:w="446" w:type="pct"/>
          </w:tcPr>
          <w:p w14:paraId="2F37660C" w14:textId="77777777" w:rsidR="007C46C4" w:rsidRPr="00FE72C8" w:rsidRDefault="007C46C4" w:rsidP="00275785">
            <w:pPr>
              <w:rPr>
                <w:rFonts w:ascii="Arial" w:hAnsi="Arial" w:cs="Arial"/>
                <w:color w:val="1F3864" w:themeColor="accent1" w:themeShade="80"/>
                <w:sz w:val="20"/>
                <w:szCs w:val="20"/>
              </w:rPr>
            </w:pPr>
          </w:p>
        </w:tc>
        <w:tc>
          <w:tcPr>
            <w:tcW w:w="178" w:type="pct"/>
            <w:gridSpan w:val="2"/>
          </w:tcPr>
          <w:p w14:paraId="7B529E04" w14:textId="77777777" w:rsidR="007C46C4" w:rsidRPr="00FE72C8" w:rsidRDefault="007C46C4" w:rsidP="00275785">
            <w:pPr>
              <w:rPr>
                <w:rFonts w:ascii="Arial" w:hAnsi="Arial" w:cs="Arial"/>
                <w:bCs/>
                <w:color w:val="1F3864" w:themeColor="accent1" w:themeShade="80"/>
                <w:sz w:val="20"/>
                <w:szCs w:val="20"/>
              </w:rPr>
            </w:pPr>
          </w:p>
        </w:tc>
      </w:tr>
      <w:tr w:rsidR="00FE72C8" w:rsidRPr="00FE72C8" w14:paraId="37CE465E" w14:textId="77777777" w:rsidTr="007C46C4">
        <w:trPr>
          <w:trHeight w:val="735"/>
        </w:trPr>
        <w:tc>
          <w:tcPr>
            <w:tcW w:w="5000" w:type="pct"/>
            <w:gridSpan w:val="13"/>
            <w:shd w:val="clear" w:color="auto" w:fill="DEEAF6" w:themeFill="accent5" w:themeFillTint="33"/>
          </w:tcPr>
          <w:p w14:paraId="17E7EF26" w14:textId="741B25E6" w:rsidR="007C46C4" w:rsidRPr="00FE72C8" w:rsidRDefault="007C46C4" w:rsidP="00275785">
            <w:p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Priority Target 7</w:t>
            </w:r>
          </w:p>
        </w:tc>
      </w:tr>
      <w:tr w:rsidR="00FE72C8" w:rsidRPr="00FE72C8" w14:paraId="10C0C263" w14:textId="77777777" w:rsidTr="00B679C8">
        <w:trPr>
          <w:trHeight w:val="735"/>
        </w:trPr>
        <w:tc>
          <w:tcPr>
            <w:tcW w:w="715" w:type="pct"/>
          </w:tcPr>
          <w:p w14:paraId="1AE6B5CB"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egoe UI" w:cs="Segoe UI"/>
                <w:sz w:val="21"/>
                <w:szCs w:val="21"/>
                <w:lang w:eastAsia="en-GB"/>
              </w:rPr>
              <w:t>To develop and maintain a highly knowledgeable Reception team by providing regular professional development, curriculum updates and half-termly team meetings, ensuring a secure understanding of the EYFS curriculum and consistent, high-quality practice across the setting.</w:t>
            </w:r>
          </w:p>
          <w:p w14:paraId="65E053DB" w14:textId="77777777" w:rsidR="007C46C4" w:rsidRPr="00B6325B" w:rsidRDefault="007C46C4" w:rsidP="00761A9F">
            <w:pPr>
              <w:spacing w:line="300" w:lineRule="atLeast"/>
              <w:rPr>
                <w:rFonts w:ascii="Arial" w:hAnsi="Arial" w:cs="Arial"/>
                <w:color w:val="1F3864" w:themeColor="accent1" w:themeShade="80"/>
                <w:sz w:val="20"/>
                <w:szCs w:val="20"/>
              </w:rPr>
            </w:pPr>
          </w:p>
        </w:tc>
        <w:tc>
          <w:tcPr>
            <w:tcW w:w="1117" w:type="pct"/>
            <w:gridSpan w:val="2"/>
          </w:tcPr>
          <w:p w14:paraId="7C1AD0EE"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lastRenderedPageBreak/>
              <w:t></w:t>
            </w:r>
            <w:r w:rsidRPr="000B4FE3">
              <w:rPr>
                <w:rFonts w:ascii="Segoe UI" w:hAnsi="Segoe UI" w:cs="Segoe UI"/>
                <w:sz w:val="21"/>
                <w:szCs w:val="21"/>
                <w:lang w:eastAsia="en-GB"/>
              </w:rPr>
              <w:t xml:space="preserve">  All Reception staff demonstrate a secure understanding of the EYFS framework, curriculum and assessment expectations. </w:t>
            </w:r>
          </w:p>
          <w:p w14:paraId="2BCE44C8"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Staff attend and engage in relevant EYFS training and professional development opportunities. </w:t>
            </w:r>
          </w:p>
          <w:p w14:paraId="23316C1F"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Half-termly team meetings are used effectively to discuss curriculum developments, share best practice and address areas for development. </w:t>
            </w:r>
          </w:p>
          <w:p w14:paraId="3A0DB555"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Key policy updates are communicated, understood and </w:t>
            </w:r>
            <w:r w:rsidRPr="000B4FE3">
              <w:rPr>
                <w:rFonts w:ascii="Segoe UI" w:hAnsi="Segoe UI" w:cs="Segoe UI"/>
                <w:sz w:val="21"/>
                <w:szCs w:val="21"/>
                <w:lang w:eastAsia="en-GB"/>
              </w:rPr>
              <w:lastRenderedPageBreak/>
              <w:t xml:space="preserve">implemented consistently by all staff. </w:t>
            </w:r>
          </w:p>
          <w:p w14:paraId="3AF25013"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Learning environments, teaching strategies and assessment practices are consistent across the Reception team. </w:t>
            </w:r>
          </w:p>
          <w:p w14:paraId="7CF6CCB4"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Monitoring shows a shared understanding of curriculum expectations and progression. </w:t>
            </w:r>
          </w:p>
          <w:p w14:paraId="2318137F"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Staff confidence in delivering and assessing the EYFS curriculum is increased. </w:t>
            </w:r>
          </w:p>
          <w:p w14:paraId="6DB0BD96"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Consistent practice contributes to improved outcomes for children across all areas of learning.</w:t>
            </w:r>
          </w:p>
          <w:p w14:paraId="69FDD671" w14:textId="71F83B80" w:rsidR="007C46C4" w:rsidRPr="00B6325B" w:rsidRDefault="007C46C4" w:rsidP="00761A9F">
            <w:pPr>
              <w:spacing w:line="300" w:lineRule="atLeast"/>
              <w:rPr>
                <w:rFonts w:ascii="Arial" w:hAnsi="Arial" w:cs="Arial"/>
                <w:color w:val="1F3864" w:themeColor="accent1" w:themeShade="80"/>
                <w:sz w:val="20"/>
                <w:szCs w:val="20"/>
              </w:rPr>
            </w:pPr>
          </w:p>
        </w:tc>
        <w:tc>
          <w:tcPr>
            <w:tcW w:w="1487" w:type="pct"/>
            <w:gridSpan w:val="4"/>
          </w:tcPr>
          <w:p w14:paraId="182098F8"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lastRenderedPageBreak/>
              <w:t></w:t>
            </w:r>
            <w:r w:rsidRPr="000B4FE3">
              <w:rPr>
                <w:rFonts w:ascii="Segoe UI" w:hAnsi="Segoe UI" w:cs="Segoe UI"/>
                <w:sz w:val="21"/>
                <w:szCs w:val="21"/>
                <w:lang w:eastAsia="en-GB"/>
              </w:rPr>
              <w:t xml:space="preserve">  Deliver regular EYFS training linked to curriculum, assessment and pedagogy. </w:t>
            </w:r>
          </w:p>
          <w:p w14:paraId="35991FC3"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Hold half-termly Reception team meetings focused on curriculum development, assessment and best practice. </w:t>
            </w:r>
          </w:p>
          <w:p w14:paraId="4E64421F"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Review and share updates to EYFS policies and statutory guidance. </w:t>
            </w:r>
          </w:p>
          <w:p w14:paraId="774987A2"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Develop a shared understanding of curriculum progression and expectations through moderation and professional discussions. </w:t>
            </w:r>
          </w:p>
          <w:p w14:paraId="5AE55307"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Monitor practice through learning walks, observations and planning scrutiny. </w:t>
            </w:r>
          </w:p>
          <w:p w14:paraId="2AAF1314"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Facilitate opportunities for staff to observe, reflect on and share effective practice. </w:t>
            </w:r>
          </w:p>
          <w:p w14:paraId="197BB073"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lastRenderedPageBreak/>
              <w:t></w:t>
            </w:r>
            <w:r w:rsidRPr="000B4FE3">
              <w:rPr>
                <w:rFonts w:ascii="Segoe UI" w:hAnsi="Segoe UI" w:cs="Segoe UI"/>
                <w:sz w:val="21"/>
                <w:szCs w:val="21"/>
                <w:lang w:eastAsia="en-GB"/>
              </w:rPr>
              <w:t xml:space="preserve">  Evaluate staff knowledge and confidence through professional dialogue and feedback.</w:t>
            </w:r>
          </w:p>
          <w:p w14:paraId="4A189DBE" w14:textId="77777777" w:rsidR="007C46C4" w:rsidRPr="00B6325B" w:rsidRDefault="007C46C4" w:rsidP="00761A9F">
            <w:pPr>
              <w:spacing w:line="300" w:lineRule="atLeast"/>
              <w:rPr>
                <w:rFonts w:ascii="Arial" w:hAnsi="Arial" w:cs="Arial"/>
                <w:bCs/>
                <w:color w:val="1F3864" w:themeColor="accent1" w:themeShade="80"/>
                <w:sz w:val="20"/>
                <w:szCs w:val="20"/>
              </w:rPr>
            </w:pPr>
          </w:p>
        </w:tc>
        <w:tc>
          <w:tcPr>
            <w:tcW w:w="1057" w:type="pct"/>
            <w:gridSpan w:val="3"/>
          </w:tcPr>
          <w:p w14:paraId="36EB7527"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lastRenderedPageBreak/>
              <w:t></w:t>
            </w:r>
            <w:r w:rsidRPr="000B4FE3">
              <w:rPr>
                <w:rFonts w:ascii="Segoe UI" w:hAnsi="Segoe UI" w:cs="Segoe UI"/>
                <w:sz w:val="21"/>
                <w:szCs w:val="21"/>
                <w:lang w:eastAsia="en-GB"/>
              </w:rPr>
              <w:t xml:space="preserve">  Half-termly team meeting records. </w:t>
            </w:r>
          </w:p>
          <w:p w14:paraId="01FA19AF"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Staff training logs and evaluations. </w:t>
            </w:r>
          </w:p>
          <w:p w14:paraId="72B8111C"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Learning walks and classroom observations. </w:t>
            </w:r>
          </w:p>
          <w:p w14:paraId="1A754468"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Planning and assessment scrutiny. </w:t>
            </w:r>
          </w:p>
          <w:p w14:paraId="1FCDFD1C"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Staff questionnaires and professional discussions. </w:t>
            </w:r>
          </w:p>
          <w:p w14:paraId="3C73DEE8"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EYFS leader monitoring reports. </w:t>
            </w:r>
          </w:p>
          <w:p w14:paraId="443B4BEA" w14:textId="77777777" w:rsidR="000B4FE3" w:rsidRPr="000B4FE3" w:rsidRDefault="000B4FE3" w:rsidP="000B4FE3">
            <w:pPr>
              <w:spacing w:line="300" w:lineRule="atLeast"/>
              <w:rPr>
                <w:rFonts w:ascii="Segoe UI" w:hAnsi="Segoe UI" w:cs="Segoe UI"/>
                <w:sz w:val="21"/>
                <w:szCs w:val="21"/>
                <w:lang w:eastAsia="en-GB"/>
              </w:rPr>
            </w:pPr>
            <w:r w:rsidRPr="000B4FE3">
              <w:rPr>
                <w:rFonts w:ascii="Segoe UI" w:hAnsi="Symbol" w:cs="Segoe UI"/>
                <w:sz w:val="21"/>
                <w:szCs w:val="21"/>
                <w:lang w:eastAsia="en-GB"/>
              </w:rPr>
              <w:t></w:t>
            </w:r>
            <w:r w:rsidRPr="000B4FE3">
              <w:rPr>
                <w:rFonts w:ascii="Segoe UI" w:hAnsi="Segoe UI" w:cs="Segoe UI"/>
                <w:sz w:val="21"/>
                <w:szCs w:val="21"/>
                <w:lang w:eastAsia="en-GB"/>
              </w:rPr>
              <w:t xml:space="preserve">  Moderation records and evidence of consistent practice.</w:t>
            </w:r>
          </w:p>
          <w:p w14:paraId="2D68630F" w14:textId="77777777" w:rsidR="007C46C4" w:rsidRPr="00B6325B" w:rsidRDefault="007C46C4" w:rsidP="00761A9F">
            <w:pPr>
              <w:spacing w:line="300" w:lineRule="atLeast"/>
              <w:rPr>
                <w:rFonts w:ascii="Arial" w:hAnsi="Arial" w:cs="Arial"/>
                <w:bCs/>
                <w:color w:val="1F3864" w:themeColor="accent1" w:themeShade="80"/>
                <w:sz w:val="20"/>
                <w:szCs w:val="20"/>
              </w:rPr>
            </w:pPr>
          </w:p>
        </w:tc>
        <w:tc>
          <w:tcPr>
            <w:tcW w:w="446" w:type="pct"/>
          </w:tcPr>
          <w:p w14:paraId="18ACF28B" w14:textId="77777777" w:rsidR="007C46C4" w:rsidRPr="00FE72C8" w:rsidRDefault="007C46C4" w:rsidP="00275785">
            <w:pPr>
              <w:rPr>
                <w:rFonts w:ascii="Arial" w:hAnsi="Arial" w:cs="Arial"/>
                <w:color w:val="1F3864" w:themeColor="accent1" w:themeShade="80"/>
                <w:sz w:val="20"/>
                <w:szCs w:val="20"/>
              </w:rPr>
            </w:pPr>
          </w:p>
        </w:tc>
        <w:tc>
          <w:tcPr>
            <w:tcW w:w="178" w:type="pct"/>
            <w:gridSpan w:val="2"/>
          </w:tcPr>
          <w:p w14:paraId="3DE18BE6" w14:textId="77777777" w:rsidR="007C46C4" w:rsidRPr="00FE72C8" w:rsidRDefault="007C46C4" w:rsidP="00275785">
            <w:pPr>
              <w:rPr>
                <w:rFonts w:ascii="Arial" w:hAnsi="Arial" w:cs="Arial"/>
                <w:bCs/>
                <w:color w:val="1F3864" w:themeColor="accent1" w:themeShade="80"/>
                <w:sz w:val="20"/>
                <w:szCs w:val="20"/>
              </w:rPr>
            </w:pPr>
          </w:p>
        </w:tc>
      </w:tr>
    </w:tbl>
    <w:p w14:paraId="378718F1" w14:textId="77777777" w:rsidR="007C3916" w:rsidRPr="00FE72C8" w:rsidRDefault="007C3916">
      <w:pPr>
        <w:rPr>
          <w:rFonts w:ascii="Arial" w:hAnsi="Arial" w:cs="Arial"/>
          <w:color w:val="1F3864" w:themeColor="accent1" w:themeShade="80"/>
          <w:sz w:val="20"/>
          <w:szCs w:val="20"/>
        </w:rPr>
      </w:pPr>
    </w:p>
    <w:sectPr w:rsidR="007C3916" w:rsidRPr="00FE72C8" w:rsidSect="008743D6">
      <w:pgSz w:w="16838" w:h="11906" w:orient="landscape"/>
      <w:pgMar w:top="426"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04400"/>
    <w:multiLevelType w:val="hybridMultilevel"/>
    <w:tmpl w:val="5F6AF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EB47F4"/>
    <w:multiLevelType w:val="hybridMultilevel"/>
    <w:tmpl w:val="7C368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3F2B0F"/>
    <w:multiLevelType w:val="hybridMultilevel"/>
    <w:tmpl w:val="4F42E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9156CA"/>
    <w:multiLevelType w:val="hybridMultilevel"/>
    <w:tmpl w:val="4FA25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CF0FAD"/>
    <w:multiLevelType w:val="hybridMultilevel"/>
    <w:tmpl w:val="5E181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C326DE"/>
    <w:multiLevelType w:val="multilevel"/>
    <w:tmpl w:val="944E1F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8760C59"/>
    <w:multiLevelType w:val="hybridMultilevel"/>
    <w:tmpl w:val="7D2C88A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4A4B6FB3"/>
    <w:multiLevelType w:val="hybridMultilevel"/>
    <w:tmpl w:val="6A5E3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3D7740"/>
    <w:multiLevelType w:val="hybridMultilevel"/>
    <w:tmpl w:val="947A92E2"/>
    <w:lvl w:ilvl="0" w:tplc="764C9E62">
      <w:start w:val="3"/>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DB0DE8"/>
    <w:multiLevelType w:val="hybridMultilevel"/>
    <w:tmpl w:val="140A039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5F922DEA"/>
    <w:multiLevelType w:val="hybridMultilevel"/>
    <w:tmpl w:val="E5745A2A"/>
    <w:lvl w:ilvl="0" w:tplc="08090001">
      <w:start w:val="1"/>
      <w:numFmt w:val="bullet"/>
      <w:lvlText w:val=""/>
      <w:lvlJc w:val="left"/>
      <w:pPr>
        <w:ind w:left="720" w:hanging="360"/>
      </w:pPr>
      <w:rPr>
        <w:rFonts w:ascii="Symbol" w:hAnsi="Symbol" w:hint="default"/>
      </w:rPr>
    </w:lvl>
    <w:lvl w:ilvl="1" w:tplc="598472FE">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AB3ACC"/>
    <w:multiLevelType w:val="multilevel"/>
    <w:tmpl w:val="E18E8EE0"/>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887620F"/>
    <w:multiLevelType w:val="hybridMultilevel"/>
    <w:tmpl w:val="911C5CCE"/>
    <w:lvl w:ilvl="0" w:tplc="46E064A6">
      <w:start w:val="1"/>
      <w:numFmt w:val="decimal"/>
      <w:lvlText w:val="%1."/>
      <w:lvlJc w:val="left"/>
      <w:pPr>
        <w:ind w:left="720" w:hanging="360"/>
      </w:pPr>
      <w:rPr>
        <w:rFonts w:ascii="Comic Sans MS" w:hAnsi="Comic Sans MS" w:cs="Angsana New"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9147C57"/>
    <w:multiLevelType w:val="hybridMultilevel"/>
    <w:tmpl w:val="E730E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2"/>
  </w:num>
  <w:num w:numId="4">
    <w:abstractNumId w:val="9"/>
  </w:num>
  <w:num w:numId="5">
    <w:abstractNumId w:val="4"/>
  </w:num>
  <w:num w:numId="6">
    <w:abstractNumId w:val="8"/>
  </w:num>
  <w:num w:numId="7">
    <w:abstractNumId w:val="7"/>
  </w:num>
  <w:num w:numId="8">
    <w:abstractNumId w:val="1"/>
  </w:num>
  <w:num w:numId="9">
    <w:abstractNumId w:val="11"/>
  </w:num>
  <w:num w:numId="10">
    <w:abstractNumId w:val="6"/>
  </w:num>
  <w:num w:numId="11">
    <w:abstractNumId w:val="0"/>
  </w:num>
  <w:num w:numId="12">
    <w:abstractNumId w:val="10"/>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B81"/>
    <w:rsid w:val="000064AD"/>
    <w:rsid w:val="00006C96"/>
    <w:rsid w:val="00007821"/>
    <w:rsid w:val="00016A03"/>
    <w:rsid w:val="00021915"/>
    <w:rsid w:val="0002285C"/>
    <w:rsid w:val="00061F1F"/>
    <w:rsid w:val="00066099"/>
    <w:rsid w:val="0007139E"/>
    <w:rsid w:val="000A4E28"/>
    <w:rsid w:val="000B0870"/>
    <w:rsid w:val="000B4FE3"/>
    <w:rsid w:val="000F3690"/>
    <w:rsid w:val="001025C8"/>
    <w:rsid w:val="00105C65"/>
    <w:rsid w:val="00127F46"/>
    <w:rsid w:val="00136F82"/>
    <w:rsid w:val="00136F98"/>
    <w:rsid w:val="00150152"/>
    <w:rsid w:val="001545A6"/>
    <w:rsid w:val="00157F60"/>
    <w:rsid w:val="00170FF2"/>
    <w:rsid w:val="00171422"/>
    <w:rsid w:val="001D2B71"/>
    <w:rsid w:val="001E73AD"/>
    <w:rsid w:val="001F4636"/>
    <w:rsid w:val="002109A1"/>
    <w:rsid w:val="002117BC"/>
    <w:rsid w:val="0022264A"/>
    <w:rsid w:val="00234593"/>
    <w:rsid w:val="00242B22"/>
    <w:rsid w:val="00244A37"/>
    <w:rsid w:val="00265EB2"/>
    <w:rsid w:val="00266AC3"/>
    <w:rsid w:val="00275785"/>
    <w:rsid w:val="00296120"/>
    <w:rsid w:val="00297DF1"/>
    <w:rsid w:val="002B4F84"/>
    <w:rsid w:val="002D0C6E"/>
    <w:rsid w:val="002D4914"/>
    <w:rsid w:val="002F0E7E"/>
    <w:rsid w:val="0030557B"/>
    <w:rsid w:val="00310B81"/>
    <w:rsid w:val="00334F3C"/>
    <w:rsid w:val="00336D11"/>
    <w:rsid w:val="0034570F"/>
    <w:rsid w:val="00347281"/>
    <w:rsid w:val="00352A42"/>
    <w:rsid w:val="00353C08"/>
    <w:rsid w:val="00357299"/>
    <w:rsid w:val="003742D5"/>
    <w:rsid w:val="003A4E07"/>
    <w:rsid w:val="003B4ED3"/>
    <w:rsid w:val="003B7ABA"/>
    <w:rsid w:val="003D697B"/>
    <w:rsid w:val="003F1232"/>
    <w:rsid w:val="003F2928"/>
    <w:rsid w:val="00410983"/>
    <w:rsid w:val="00432C82"/>
    <w:rsid w:val="00434575"/>
    <w:rsid w:val="00434EB7"/>
    <w:rsid w:val="00435671"/>
    <w:rsid w:val="00460698"/>
    <w:rsid w:val="004606FC"/>
    <w:rsid w:val="004627ED"/>
    <w:rsid w:val="00465CD8"/>
    <w:rsid w:val="00473A9B"/>
    <w:rsid w:val="00476E28"/>
    <w:rsid w:val="004A68A9"/>
    <w:rsid w:val="004A71A8"/>
    <w:rsid w:val="004E2B10"/>
    <w:rsid w:val="00510EE8"/>
    <w:rsid w:val="00521036"/>
    <w:rsid w:val="00531D86"/>
    <w:rsid w:val="00533FFE"/>
    <w:rsid w:val="00537380"/>
    <w:rsid w:val="00565FAE"/>
    <w:rsid w:val="00591E69"/>
    <w:rsid w:val="00596670"/>
    <w:rsid w:val="005B57C8"/>
    <w:rsid w:val="005F0870"/>
    <w:rsid w:val="00606543"/>
    <w:rsid w:val="00636F18"/>
    <w:rsid w:val="00642ADF"/>
    <w:rsid w:val="00652F10"/>
    <w:rsid w:val="006679C4"/>
    <w:rsid w:val="006800EF"/>
    <w:rsid w:val="00692882"/>
    <w:rsid w:val="006A2889"/>
    <w:rsid w:val="006A5E7F"/>
    <w:rsid w:val="006B1A33"/>
    <w:rsid w:val="006C1C38"/>
    <w:rsid w:val="006D10FF"/>
    <w:rsid w:val="006D4800"/>
    <w:rsid w:val="006E2B77"/>
    <w:rsid w:val="006F32F0"/>
    <w:rsid w:val="00706F29"/>
    <w:rsid w:val="00707E26"/>
    <w:rsid w:val="007126BA"/>
    <w:rsid w:val="00715C0D"/>
    <w:rsid w:val="0073459F"/>
    <w:rsid w:val="00737788"/>
    <w:rsid w:val="00761A9F"/>
    <w:rsid w:val="00782B6D"/>
    <w:rsid w:val="00795F3D"/>
    <w:rsid w:val="007B0674"/>
    <w:rsid w:val="007C3916"/>
    <w:rsid w:val="007C460C"/>
    <w:rsid w:val="007C46C4"/>
    <w:rsid w:val="007E147F"/>
    <w:rsid w:val="007E5575"/>
    <w:rsid w:val="008029DD"/>
    <w:rsid w:val="008050CF"/>
    <w:rsid w:val="00805A03"/>
    <w:rsid w:val="008201A5"/>
    <w:rsid w:val="008313F5"/>
    <w:rsid w:val="00856BDB"/>
    <w:rsid w:val="008743D6"/>
    <w:rsid w:val="008A37BC"/>
    <w:rsid w:val="008B04A5"/>
    <w:rsid w:val="008D6CC0"/>
    <w:rsid w:val="008E02F0"/>
    <w:rsid w:val="008E18F8"/>
    <w:rsid w:val="009106E2"/>
    <w:rsid w:val="00921C1F"/>
    <w:rsid w:val="0092249C"/>
    <w:rsid w:val="00942468"/>
    <w:rsid w:val="009522F5"/>
    <w:rsid w:val="00972AF7"/>
    <w:rsid w:val="00980F54"/>
    <w:rsid w:val="009A1D99"/>
    <w:rsid w:val="009B76DB"/>
    <w:rsid w:val="009E3046"/>
    <w:rsid w:val="00A01457"/>
    <w:rsid w:val="00A06F97"/>
    <w:rsid w:val="00A24499"/>
    <w:rsid w:val="00A436BD"/>
    <w:rsid w:val="00A5008F"/>
    <w:rsid w:val="00A53EAE"/>
    <w:rsid w:val="00A57F58"/>
    <w:rsid w:val="00A61850"/>
    <w:rsid w:val="00A66666"/>
    <w:rsid w:val="00A721C5"/>
    <w:rsid w:val="00A74DA1"/>
    <w:rsid w:val="00A806AD"/>
    <w:rsid w:val="00A8730C"/>
    <w:rsid w:val="00A90E29"/>
    <w:rsid w:val="00A922F4"/>
    <w:rsid w:val="00AB2CBB"/>
    <w:rsid w:val="00AE46CC"/>
    <w:rsid w:val="00AE6B0D"/>
    <w:rsid w:val="00AF28DD"/>
    <w:rsid w:val="00B45542"/>
    <w:rsid w:val="00B477ED"/>
    <w:rsid w:val="00B51B8E"/>
    <w:rsid w:val="00B612BB"/>
    <w:rsid w:val="00B6325B"/>
    <w:rsid w:val="00B679C8"/>
    <w:rsid w:val="00B84EDD"/>
    <w:rsid w:val="00B95C6D"/>
    <w:rsid w:val="00BA4AD6"/>
    <w:rsid w:val="00BB2AB4"/>
    <w:rsid w:val="00BD538D"/>
    <w:rsid w:val="00BE0530"/>
    <w:rsid w:val="00BE424D"/>
    <w:rsid w:val="00BF13BB"/>
    <w:rsid w:val="00C01D8B"/>
    <w:rsid w:val="00C12636"/>
    <w:rsid w:val="00C70875"/>
    <w:rsid w:val="00C7353B"/>
    <w:rsid w:val="00C81DBE"/>
    <w:rsid w:val="00CA649D"/>
    <w:rsid w:val="00CA77B0"/>
    <w:rsid w:val="00CB761D"/>
    <w:rsid w:val="00CD60F4"/>
    <w:rsid w:val="00CE5140"/>
    <w:rsid w:val="00CE7633"/>
    <w:rsid w:val="00CE7AF1"/>
    <w:rsid w:val="00D22BDD"/>
    <w:rsid w:val="00D87FB0"/>
    <w:rsid w:val="00DA2C3B"/>
    <w:rsid w:val="00DB06B3"/>
    <w:rsid w:val="00DC4096"/>
    <w:rsid w:val="00E003CE"/>
    <w:rsid w:val="00E04166"/>
    <w:rsid w:val="00E1637A"/>
    <w:rsid w:val="00E309E6"/>
    <w:rsid w:val="00E44EFE"/>
    <w:rsid w:val="00E537AC"/>
    <w:rsid w:val="00E60B88"/>
    <w:rsid w:val="00E825B5"/>
    <w:rsid w:val="00E95CB0"/>
    <w:rsid w:val="00E975A6"/>
    <w:rsid w:val="00EB0934"/>
    <w:rsid w:val="00EB3F39"/>
    <w:rsid w:val="00EB4CBC"/>
    <w:rsid w:val="00EB7D7E"/>
    <w:rsid w:val="00EC623D"/>
    <w:rsid w:val="00EE0348"/>
    <w:rsid w:val="00EE5442"/>
    <w:rsid w:val="00EF29A7"/>
    <w:rsid w:val="00F206F2"/>
    <w:rsid w:val="00F52EEE"/>
    <w:rsid w:val="00F56F83"/>
    <w:rsid w:val="00F874BA"/>
    <w:rsid w:val="00F90786"/>
    <w:rsid w:val="00F95EBA"/>
    <w:rsid w:val="00FB245C"/>
    <w:rsid w:val="00FC2764"/>
    <w:rsid w:val="00FD06E9"/>
    <w:rsid w:val="00FD23C7"/>
    <w:rsid w:val="00FE72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7BEE5"/>
  <w15:chartTrackingRefBased/>
  <w15:docId w15:val="{B7A9449A-3626-4116-B692-98B8A3FCE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B8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0B81"/>
    <w:pPr>
      <w:ind w:left="720"/>
    </w:pPr>
  </w:style>
  <w:style w:type="paragraph" w:styleId="BalloonText">
    <w:name w:val="Balloon Text"/>
    <w:basedOn w:val="Normal"/>
    <w:link w:val="BalloonTextChar"/>
    <w:uiPriority w:val="99"/>
    <w:semiHidden/>
    <w:unhideWhenUsed/>
    <w:rsid w:val="00357299"/>
    <w:rPr>
      <w:rFonts w:ascii="Segoe UI" w:hAnsi="Segoe UI"/>
      <w:sz w:val="18"/>
      <w:szCs w:val="18"/>
    </w:rPr>
  </w:style>
  <w:style w:type="character" w:customStyle="1" w:styleId="BalloonTextChar">
    <w:name w:val="Balloon Text Char"/>
    <w:basedOn w:val="DefaultParagraphFont"/>
    <w:link w:val="BalloonText"/>
    <w:uiPriority w:val="99"/>
    <w:semiHidden/>
    <w:rsid w:val="00357299"/>
    <w:rPr>
      <w:rFonts w:ascii="Segoe UI" w:eastAsia="Times New Roman" w:hAnsi="Segoe UI" w:cs="Times New Roman"/>
      <w:sz w:val="18"/>
      <w:szCs w:val="18"/>
    </w:rPr>
  </w:style>
  <w:style w:type="character" w:styleId="Hyperlink">
    <w:name w:val="Hyperlink"/>
    <w:basedOn w:val="DefaultParagraphFont"/>
    <w:uiPriority w:val="99"/>
    <w:unhideWhenUsed/>
    <w:rsid w:val="00537380"/>
    <w:rPr>
      <w:color w:val="0563C1" w:themeColor="hyperlink"/>
      <w:u w:val="single"/>
    </w:rPr>
  </w:style>
  <w:style w:type="character" w:styleId="Strong">
    <w:name w:val="Strong"/>
    <w:basedOn w:val="DefaultParagraphFont"/>
    <w:uiPriority w:val="22"/>
    <w:qFormat/>
    <w:rsid w:val="00DB06B3"/>
    <w:rPr>
      <w:b/>
      <w:bCs/>
    </w:rPr>
  </w:style>
  <w:style w:type="character" w:styleId="CommentReference">
    <w:name w:val="annotation reference"/>
    <w:basedOn w:val="DefaultParagraphFont"/>
    <w:uiPriority w:val="99"/>
    <w:semiHidden/>
    <w:unhideWhenUsed/>
    <w:rsid w:val="00707E26"/>
    <w:rPr>
      <w:sz w:val="16"/>
      <w:szCs w:val="16"/>
    </w:rPr>
  </w:style>
  <w:style w:type="paragraph" w:styleId="CommentText">
    <w:name w:val="annotation text"/>
    <w:basedOn w:val="Normal"/>
    <w:link w:val="CommentTextChar"/>
    <w:uiPriority w:val="99"/>
    <w:semiHidden/>
    <w:unhideWhenUsed/>
    <w:rsid w:val="00707E26"/>
    <w:rPr>
      <w:sz w:val="20"/>
      <w:szCs w:val="20"/>
    </w:rPr>
  </w:style>
  <w:style w:type="character" w:customStyle="1" w:styleId="CommentTextChar">
    <w:name w:val="Comment Text Char"/>
    <w:basedOn w:val="DefaultParagraphFont"/>
    <w:link w:val="CommentText"/>
    <w:uiPriority w:val="99"/>
    <w:semiHidden/>
    <w:rsid w:val="00707E2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07E26"/>
    <w:rPr>
      <w:b/>
      <w:bCs/>
    </w:rPr>
  </w:style>
  <w:style w:type="character" w:customStyle="1" w:styleId="CommentSubjectChar">
    <w:name w:val="Comment Subject Char"/>
    <w:basedOn w:val="CommentTextChar"/>
    <w:link w:val="CommentSubject"/>
    <w:uiPriority w:val="99"/>
    <w:semiHidden/>
    <w:rsid w:val="00707E26"/>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965474">
      <w:bodyDiv w:val="1"/>
      <w:marLeft w:val="0"/>
      <w:marRight w:val="0"/>
      <w:marTop w:val="0"/>
      <w:marBottom w:val="0"/>
      <w:divBdr>
        <w:top w:val="none" w:sz="0" w:space="0" w:color="auto"/>
        <w:left w:val="none" w:sz="0" w:space="0" w:color="auto"/>
        <w:bottom w:val="none" w:sz="0" w:space="0" w:color="auto"/>
        <w:right w:val="none" w:sz="0" w:space="0" w:color="auto"/>
      </w:divBdr>
      <w:divsChild>
        <w:div w:id="492913482">
          <w:marLeft w:val="0"/>
          <w:marRight w:val="0"/>
          <w:marTop w:val="0"/>
          <w:marBottom w:val="0"/>
          <w:divBdr>
            <w:top w:val="none" w:sz="0" w:space="0" w:color="auto"/>
            <w:left w:val="none" w:sz="0" w:space="0" w:color="auto"/>
            <w:bottom w:val="none" w:sz="0" w:space="0" w:color="auto"/>
            <w:right w:val="none" w:sz="0" w:space="0" w:color="auto"/>
          </w:divBdr>
        </w:div>
      </w:divsChild>
    </w:div>
    <w:div w:id="70009392">
      <w:bodyDiv w:val="1"/>
      <w:marLeft w:val="0"/>
      <w:marRight w:val="0"/>
      <w:marTop w:val="0"/>
      <w:marBottom w:val="0"/>
      <w:divBdr>
        <w:top w:val="none" w:sz="0" w:space="0" w:color="auto"/>
        <w:left w:val="none" w:sz="0" w:space="0" w:color="auto"/>
        <w:bottom w:val="none" w:sz="0" w:space="0" w:color="auto"/>
        <w:right w:val="none" w:sz="0" w:space="0" w:color="auto"/>
      </w:divBdr>
      <w:divsChild>
        <w:div w:id="313872790">
          <w:marLeft w:val="0"/>
          <w:marRight w:val="0"/>
          <w:marTop w:val="0"/>
          <w:marBottom w:val="0"/>
          <w:divBdr>
            <w:top w:val="none" w:sz="0" w:space="0" w:color="auto"/>
            <w:left w:val="none" w:sz="0" w:space="0" w:color="auto"/>
            <w:bottom w:val="none" w:sz="0" w:space="0" w:color="auto"/>
            <w:right w:val="none" w:sz="0" w:space="0" w:color="auto"/>
          </w:divBdr>
        </w:div>
      </w:divsChild>
    </w:div>
    <w:div w:id="205605455">
      <w:bodyDiv w:val="1"/>
      <w:marLeft w:val="0"/>
      <w:marRight w:val="0"/>
      <w:marTop w:val="0"/>
      <w:marBottom w:val="0"/>
      <w:divBdr>
        <w:top w:val="none" w:sz="0" w:space="0" w:color="auto"/>
        <w:left w:val="none" w:sz="0" w:space="0" w:color="auto"/>
        <w:bottom w:val="none" w:sz="0" w:space="0" w:color="auto"/>
        <w:right w:val="none" w:sz="0" w:space="0" w:color="auto"/>
      </w:divBdr>
      <w:divsChild>
        <w:div w:id="1813479170">
          <w:marLeft w:val="0"/>
          <w:marRight w:val="0"/>
          <w:marTop w:val="0"/>
          <w:marBottom w:val="0"/>
          <w:divBdr>
            <w:top w:val="none" w:sz="0" w:space="0" w:color="auto"/>
            <w:left w:val="none" w:sz="0" w:space="0" w:color="auto"/>
            <w:bottom w:val="none" w:sz="0" w:space="0" w:color="auto"/>
            <w:right w:val="none" w:sz="0" w:space="0" w:color="auto"/>
          </w:divBdr>
        </w:div>
      </w:divsChild>
    </w:div>
    <w:div w:id="218829059">
      <w:bodyDiv w:val="1"/>
      <w:marLeft w:val="0"/>
      <w:marRight w:val="0"/>
      <w:marTop w:val="0"/>
      <w:marBottom w:val="0"/>
      <w:divBdr>
        <w:top w:val="none" w:sz="0" w:space="0" w:color="auto"/>
        <w:left w:val="none" w:sz="0" w:space="0" w:color="auto"/>
        <w:bottom w:val="none" w:sz="0" w:space="0" w:color="auto"/>
        <w:right w:val="none" w:sz="0" w:space="0" w:color="auto"/>
      </w:divBdr>
      <w:divsChild>
        <w:div w:id="2116367574">
          <w:marLeft w:val="0"/>
          <w:marRight w:val="0"/>
          <w:marTop w:val="0"/>
          <w:marBottom w:val="0"/>
          <w:divBdr>
            <w:top w:val="none" w:sz="0" w:space="0" w:color="auto"/>
            <w:left w:val="none" w:sz="0" w:space="0" w:color="auto"/>
            <w:bottom w:val="none" w:sz="0" w:space="0" w:color="auto"/>
            <w:right w:val="none" w:sz="0" w:space="0" w:color="auto"/>
          </w:divBdr>
        </w:div>
      </w:divsChild>
    </w:div>
    <w:div w:id="288703145">
      <w:bodyDiv w:val="1"/>
      <w:marLeft w:val="0"/>
      <w:marRight w:val="0"/>
      <w:marTop w:val="0"/>
      <w:marBottom w:val="0"/>
      <w:divBdr>
        <w:top w:val="none" w:sz="0" w:space="0" w:color="auto"/>
        <w:left w:val="none" w:sz="0" w:space="0" w:color="auto"/>
        <w:bottom w:val="none" w:sz="0" w:space="0" w:color="auto"/>
        <w:right w:val="none" w:sz="0" w:space="0" w:color="auto"/>
      </w:divBdr>
      <w:divsChild>
        <w:div w:id="1985696607">
          <w:marLeft w:val="0"/>
          <w:marRight w:val="0"/>
          <w:marTop w:val="0"/>
          <w:marBottom w:val="0"/>
          <w:divBdr>
            <w:top w:val="none" w:sz="0" w:space="0" w:color="auto"/>
            <w:left w:val="none" w:sz="0" w:space="0" w:color="auto"/>
            <w:bottom w:val="none" w:sz="0" w:space="0" w:color="auto"/>
            <w:right w:val="none" w:sz="0" w:space="0" w:color="auto"/>
          </w:divBdr>
        </w:div>
      </w:divsChild>
    </w:div>
    <w:div w:id="476456385">
      <w:bodyDiv w:val="1"/>
      <w:marLeft w:val="0"/>
      <w:marRight w:val="0"/>
      <w:marTop w:val="0"/>
      <w:marBottom w:val="0"/>
      <w:divBdr>
        <w:top w:val="none" w:sz="0" w:space="0" w:color="auto"/>
        <w:left w:val="none" w:sz="0" w:space="0" w:color="auto"/>
        <w:bottom w:val="none" w:sz="0" w:space="0" w:color="auto"/>
        <w:right w:val="none" w:sz="0" w:space="0" w:color="auto"/>
      </w:divBdr>
      <w:divsChild>
        <w:div w:id="1180897318">
          <w:marLeft w:val="0"/>
          <w:marRight w:val="0"/>
          <w:marTop w:val="0"/>
          <w:marBottom w:val="0"/>
          <w:divBdr>
            <w:top w:val="none" w:sz="0" w:space="0" w:color="auto"/>
            <w:left w:val="none" w:sz="0" w:space="0" w:color="auto"/>
            <w:bottom w:val="none" w:sz="0" w:space="0" w:color="auto"/>
            <w:right w:val="none" w:sz="0" w:space="0" w:color="auto"/>
          </w:divBdr>
        </w:div>
      </w:divsChild>
    </w:div>
    <w:div w:id="622033287">
      <w:bodyDiv w:val="1"/>
      <w:marLeft w:val="0"/>
      <w:marRight w:val="0"/>
      <w:marTop w:val="0"/>
      <w:marBottom w:val="0"/>
      <w:divBdr>
        <w:top w:val="none" w:sz="0" w:space="0" w:color="auto"/>
        <w:left w:val="none" w:sz="0" w:space="0" w:color="auto"/>
        <w:bottom w:val="none" w:sz="0" w:space="0" w:color="auto"/>
        <w:right w:val="none" w:sz="0" w:space="0" w:color="auto"/>
      </w:divBdr>
      <w:divsChild>
        <w:div w:id="1215120003">
          <w:marLeft w:val="0"/>
          <w:marRight w:val="0"/>
          <w:marTop w:val="0"/>
          <w:marBottom w:val="0"/>
          <w:divBdr>
            <w:top w:val="none" w:sz="0" w:space="0" w:color="auto"/>
            <w:left w:val="none" w:sz="0" w:space="0" w:color="auto"/>
            <w:bottom w:val="none" w:sz="0" w:space="0" w:color="auto"/>
            <w:right w:val="none" w:sz="0" w:space="0" w:color="auto"/>
          </w:divBdr>
        </w:div>
      </w:divsChild>
    </w:div>
    <w:div w:id="668797723">
      <w:bodyDiv w:val="1"/>
      <w:marLeft w:val="0"/>
      <w:marRight w:val="0"/>
      <w:marTop w:val="0"/>
      <w:marBottom w:val="0"/>
      <w:divBdr>
        <w:top w:val="none" w:sz="0" w:space="0" w:color="auto"/>
        <w:left w:val="none" w:sz="0" w:space="0" w:color="auto"/>
        <w:bottom w:val="none" w:sz="0" w:space="0" w:color="auto"/>
        <w:right w:val="none" w:sz="0" w:space="0" w:color="auto"/>
      </w:divBdr>
      <w:divsChild>
        <w:div w:id="1822386231">
          <w:marLeft w:val="0"/>
          <w:marRight w:val="0"/>
          <w:marTop w:val="0"/>
          <w:marBottom w:val="0"/>
          <w:divBdr>
            <w:top w:val="none" w:sz="0" w:space="0" w:color="auto"/>
            <w:left w:val="none" w:sz="0" w:space="0" w:color="auto"/>
            <w:bottom w:val="none" w:sz="0" w:space="0" w:color="auto"/>
            <w:right w:val="none" w:sz="0" w:space="0" w:color="auto"/>
          </w:divBdr>
        </w:div>
      </w:divsChild>
    </w:div>
    <w:div w:id="949360357">
      <w:bodyDiv w:val="1"/>
      <w:marLeft w:val="0"/>
      <w:marRight w:val="0"/>
      <w:marTop w:val="0"/>
      <w:marBottom w:val="0"/>
      <w:divBdr>
        <w:top w:val="none" w:sz="0" w:space="0" w:color="auto"/>
        <w:left w:val="none" w:sz="0" w:space="0" w:color="auto"/>
        <w:bottom w:val="none" w:sz="0" w:space="0" w:color="auto"/>
        <w:right w:val="none" w:sz="0" w:space="0" w:color="auto"/>
      </w:divBdr>
      <w:divsChild>
        <w:div w:id="1458337525">
          <w:marLeft w:val="0"/>
          <w:marRight w:val="0"/>
          <w:marTop w:val="0"/>
          <w:marBottom w:val="0"/>
          <w:divBdr>
            <w:top w:val="none" w:sz="0" w:space="0" w:color="auto"/>
            <w:left w:val="none" w:sz="0" w:space="0" w:color="auto"/>
            <w:bottom w:val="none" w:sz="0" w:space="0" w:color="auto"/>
            <w:right w:val="none" w:sz="0" w:space="0" w:color="auto"/>
          </w:divBdr>
        </w:div>
      </w:divsChild>
    </w:div>
    <w:div w:id="1033843114">
      <w:bodyDiv w:val="1"/>
      <w:marLeft w:val="0"/>
      <w:marRight w:val="0"/>
      <w:marTop w:val="0"/>
      <w:marBottom w:val="0"/>
      <w:divBdr>
        <w:top w:val="none" w:sz="0" w:space="0" w:color="auto"/>
        <w:left w:val="none" w:sz="0" w:space="0" w:color="auto"/>
        <w:bottom w:val="none" w:sz="0" w:space="0" w:color="auto"/>
        <w:right w:val="none" w:sz="0" w:space="0" w:color="auto"/>
      </w:divBdr>
      <w:divsChild>
        <w:div w:id="1072773696">
          <w:marLeft w:val="0"/>
          <w:marRight w:val="0"/>
          <w:marTop w:val="0"/>
          <w:marBottom w:val="0"/>
          <w:divBdr>
            <w:top w:val="none" w:sz="0" w:space="0" w:color="auto"/>
            <w:left w:val="none" w:sz="0" w:space="0" w:color="auto"/>
            <w:bottom w:val="none" w:sz="0" w:space="0" w:color="auto"/>
            <w:right w:val="none" w:sz="0" w:space="0" w:color="auto"/>
          </w:divBdr>
        </w:div>
      </w:divsChild>
    </w:div>
    <w:div w:id="1102065231">
      <w:bodyDiv w:val="1"/>
      <w:marLeft w:val="0"/>
      <w:marRight w:val="0"/>
      <w:marTop w:val="0"/>
      <w:marBottom w:val="0"/>
      <w:divBdr>
        <w:top w:val="none" w:sz="0" w:space="0" w:color="auto"/>
        <w:left w:val="none" w:sz="0" w:space="0" w:color="auto"/>
        <w:bottom w:val="none" w:sz="0" w:space="0" w:color="auto"/>
        <w:right w:val="none" w:sz="0" w:space="0" w:color="auto"/>
      </w:divBdr>
      <w:divsChild>
        <w:div w:id="601691519">
          <w:marLeft w:val="0"/>
          <w:marRight w:val="0"/>
          <w:marTop w:val="0"/>
          <w:marBottom w:val="0"/>
          <w:divBdr>
            <w:top w:val="none" w:sz="0" w:space="0" w:color="auto"/>
            <w:left w:val="none" w:sz="0" w:space="0" w:color="auto"/>
            <w:bottom w:val="none" w:sz="0" w:space="0" w:color="auto"/>
            <w:right w:val="none" w:sz="0" w:space="0" w:color="auto"/>
          </w:divBdr>
        </w:div>
      </w:divsChild>
    </w:div>
    <w:div w:id="1131900353">
      <w:bodyDiv w:val="1"/>
      <w:marLeft w:val="0"/>
      <w:marRight w:val="0"/>
      <w:marTop w:val="0"/>
      <w:marBottom w:val="0"/>
      <w:divBdr>
        <w:top w:val="none" w:sz="0" w:space="0" w:color="auto"/>
        <w:left w:val="none" w:sz="0" w:space="0" w:color="auto"/>
        <w:bottom w:val="none" w:sz="0" w:space="0" w:color="auto"/>
        <w:right w:val="none" w:sz="0" w:space="0" w:color="auto"/>
      </w:divBdr>
      <w:divsChild>
        <w:div w:id="299967759">
          <w:marLeft w:val="0"/>
          <w:marRight w:val="0"/>
          <w:marTop w:val="0"/>
          <w:marBottom w:val="0"/>
          <w:divBdr>
            <w:top w:val="none" w:sz="0" w:space="0" w:color="auto"/>
            <w:left w:val="none" w:sz="0" w:space="0" w:color="auto"/>
            <w:bottom w:val="none" w:sz="0" w:space="0" w:color="auto"/>
            <w:right w:val="none" w:sz="0" w:space="0" w:color="auto"/>
          </w:divBdr>
        </w:div>
      </w:divsChild>
    </w:div>
    <w:div w:id="1265770223">
      <w:bodyDiv w:val="1"/>
      <w:marLeft w:val="0"/>
      <w:marRight w:val="0"/>
      <w:marTop w:val="0"/>
      <w:marBottom w:val="0"/>
      <w:divBdr>
        <w:top w:val="none" w:sz="0" w:space="0" w:color="auto"/>
        <w:left w:val="none" w:sz="0" w:space="0" w:color="auto"/>
        <w:bottom w:val="none" w:sz="0" w:space="0" w:color="auto"/>
        <w:right w:val="none" w:sz="0" w:space="0" w:color="auto"/>
      </w:divBdr>
      <w:divsChild>
        <w:div w:id="60257634">
          <w:marLeft w:val="0"/>
          <w:marRight w:val="0"/>
          <w:marTop w:val="0"/>
          <w:marBottom w:val="0"/>
          <w:divBdr>
            <w:top w:val="none" w:sz="0" w:space="0" w:color="auto"/>
            <w:left w:val="none" w:sz="0" w:space="0" w:color="auto"/>
            <w:bottom w:val="none" w:sz="0" w:space="0" w:color="auto"/>
            <w:right w:val="none" w:sz="0" w:space="0" w:color="auto"/>
          </w:divBdr>
        </w:div>
      </w:divsChild>
    </w:div>
    <w:div w:id="1339115613">
      <w:bodyDiv w:val="1"/>
      <w:marLeft w:val="0"/>
      <w:marRight w:val="0"/>
      <w:marTop w:val="0"/>
      <w:marBottom w:val="0"/>
      <w:divBdr>
        <w:top w:val="none" w:sz="0" w:space="0" w:color="auto"/>
        <w:left w:val="none" w:sz="0" w:space="0" w:color="auto"/>
        <w:bottom w:val="none" w:sz="0" w:space="0" w:color="auto"/>
        <w:right w:val="none" w:sz="0" w:space="0" w:color="auto"/>
      </w:divBdr>
      <w:divsChild>
        <w:div w:id="181821862">
          <w:marLeft w:val="0"/>
          <w:marRight w:val="0"/>
          <w:marTop w:val="0"/>
          <w:marBottom w:val="0"/>
          <w:divBdr>
            <w:top w:val="none" w:sz="0" w:space="0" w:color="auto"/>
            <w:left w:val="none" w:sz="0" w:space="0" w:color="auto"/>
            <w:bottom w:val="none" w:sz="0" w:space="0" w:color="auto"/>
            <w:right w:val="none" w:sz="0" w:space="0" w:color="auto"/>
          </w:divBdr>
        </w:div>
      </w:divsChild>
    </w:div>
    <w:div w:id="1357729277">
      <w:bodyDiv w:val="1"/>
      <w:marLeft w:val="0"/>
      <w:marRight w:val="0"/>
      <w:marTop w:val="0"/>
      <w:marBottom w:val="0"/>
      <w:divBdr>
        <w:top w:val="none" w:sz="0" w:space="0" w:color="auto"/>
        <w:left w:val="none" w:sz="0" w:space="0" w:color="auto"/>
        <w:bottom w:val="none" w:sz="0" w:space="0" w:color="auto"/>
        <w:right w:val="none" w:sz="0" w:space="0" w:color="auto"/>
      </w:divBdr>
      <w:divsChild>
        <w:div w:id="954947439">
          <w:marLeft w:val="0"/>
          <w:marRight w:val="0"/>
          <w:marTop w:val="0"/>
          <w:marBottom w:val="0"/>
          <w:divBdr>
            <w:top w:val="none" w:sz="0" w:space="0" w:color="auto"/>
            <w:left w:val="none" w:sz="0" w:space="0" w:color="auto"/>
            <w:bottom w:val="none" w:sz="0" w:space="0" w:color="auto"/>
            <w:right w:val="none" w:sz="0" w:space="0" w:color="auto"/>
          </w:divBdr>
        </w:div>
      </w:divsChild>
    </w:div>
    <w:div w:id="1405908143">
      <w:bodyDiv w:val="1"/>
      <w:marLeft w:val="0"/>
      <w:marRight w:val="0"/>
      <w:marTop w:val="0"/>
      <w:marBottom w:val="0"/>
      <w:divBdr>
        <w:top w:val="none" w:sz="0" w:space="0" w:color="auto"/>
        <w:left w:val="none" w:sz="0" w:space="0" w:color="auto"/>
        <w:bottom w:val="none" w:sz="0" w:space="0" w:color="auto"/>
        <w:right w:val="none" w:sz="0" w:space="0" w:color="auto"/>
      </w:divBdr>
      <w:divsChild>
        <w:div w:id="485511719">
          <w:marLeft w:val="0"/>
          <w:marRight w:val="0"/>
          <w:marTop w:val="0"/>
          <w:marBottom w:val="0"/>
          <w:divBdr>
            <w:top w:val="none" w:sz="0" w:space="0" w:color="auto"/>
            <w:left w:val="none" w:sz="0" w:space="0" w:color="auto"/>
            <w:bottom w:val="none" w:sz="0" w:space="0" w:color="auto"/>
            <w:right w:val="none" w:sz="0" w:space="0" w:color="auto"/>
          </w:divBdr>
        </w:div>
      </w:divsChild>
    </w:div>
    <w:div w:id="1533616180">
      <w:bodyDiv w:val="1"/>
      <w:marLeft w:val="0"/>
      <w:marRight w:val="0"/>
      <w:marTop w:val="0"/>
      <w:marBottom w:val="0"/>
      <w:divBdr>
        <w:top w:val="none" w:sz="0" w:space="0" w:color="auto"/>
        <w:left w:val="none" w:sz="0" w:space="0" w:color="auto"/>
        <w:bottom w:val="none" w:sz="0" w:space="0" w:color="auto"/>
        <w:right w:val="none" w:sz="0" w:space="0" w:color="auto"/>
      </w:divBdr>
      <w:divsChild>
        <w:div w:id="6834130">
          <w:marLeft w:val="0"/>
          <w:marRight w:val="0"/>
          <w:marTop w:val="0"/>
          <w:marBottom w:val="0"/>
          <w:divBdr>
            <w:top w:val="none" w:sz="0" w:space="0" w:color="auto"/>
            <w:left w:val="none" w:sz="0" w:space="0" w:color="auto"/>
            <w:bottom w:val="none" w:sz="0" w:space="0" w:color="auto"/>
            <w:right w:val="none" w:sz="0" w:space="0" w:color="auto"/>
          </w:divBdr>
        </w:div>
      </w:divsChild>
    </w:div>
    <w:div w:id="1646157123">
      <w:bodyDiv w:val="1"/>
      <w:marLeft w:val="0"/>
      <w:marRight w:val="0"/>
      <w:marTop w:val="0"/>
      <w:marBottom w:val="0"/>
      <w:divBdr>
        <w:top w:val="none" w:sz="0" w:space="0" w:color="auto"/>
        <w:left w:val="none" w:sz="0" w:space="0" w:color="auto"/>
        <w:bottom w:val="none" w:sz="0" w:space="0" w:color="auto"/>
        <w:right w:val="none" w:sz="0" w:space="0" w:color="auto"/>
      </w:divBdr>
      <w:divsChild>
        <w:div w:id="1294750905">
          <w:marLeft w:val="0"/>
          <w:marRight w:val="0"/>
          <w:marTop w:val="0"/>
          <w:marBottom w:val="0"/>
          <w:divBdr>
            <w:top w:val="none" w:sz="0" w:space="0" w:color="auto"/>
            <w:left w:val="none" w:sz="0" w:space="0" w:color="auto"/>
            <w:bottom w:val="none" w:sz="0" w:space="0" w:color="auto"/>
            <w:right w:val="none" w:sz="0" w:space="0" w:color="auto"/>
          </w:divBdr>
        </w:div>
      </w:divsChild>
    </w:div>
    <w:div w:id="1920403680">
      <w:bodyDiv w:val="1"/>
      <w:marLeft w:val="0"/>
      <w:marRight w:val="0"/>
      <w:marTop w:val="0"/>
      <w:marBottom w:val="0"/>
      <w:divBdr>
        <w:top w:val="none" w:sz="0" w:space="0" w:color="auto"/>
        <w:left w:val="none" w:sz="0" w:space="0" w:color="auto"/>
        <w:bottom w:val="none" w:sz="0" w:space="0" w:color="auto"/>
        <w:right w:val="none" w:sz="0" w:space="0" w:color="auto"/>
      </w:divBdr>
      <w:divsChild>
        <w:div w:id="1080718767">
          <w:marLeft w:val="0"/>
          <w:marRight w:val="0"/>
          <w:marTop w:val="0"/>
          <w:marBottom w:val="0"/>
          <w:divBdr>
            <w:top w:val="none" w:sz="0" w:space="0" w:color="auto"/>
            <w:left w:val="none" w:sz="0" w:space="0" w:color="auto"/>
            <w:bottom w:val="none" w:sz="0" w:space="0" w:color="auto"/>
            <w:right w:val="none" w:sz="0" w:space="0" w:color="auto"/>
          </w:divBdr>
        </w:div>
      </w:divsChild>
    </w:div>
    <w:div w:id="1969511666">
      <w:bodyDiv w:val="1"/>
      <w:marLeft w:val="0"/>
      <w:marRight w:val="0"/>
      <w:marTop w:val="0"/>
      <w:marBottom w:val="0"/>
      <w:divBdr>
        <w:top w:val="none" w:sz="0" w:space="0" w:color="auto"/>
        <w:left w:val="none" w:sz="0" w:space="0" w:color="auto"/>
        <w:bottom w:val="none" w:sz="0" w:space="0" w:color="auto"/>
        <w:right w:val="none" w:sz="0" w:space="0" w:color="auto"/>
      </w:divBdr>
      <w:divsChild>
        <w:div w:id="326594257">
          <w:marLeft w:val="0"/>
          <w:marRight w:val="0"/>
          <w:marTop w:val="0"/>
          <w:marBottom w:val="0"/>
          <w:divBdr>
            <w:top w:val="none" w:sz="0" w:space="0" w:color="auto"/>
            <w:left w:val="none" w:sz="0" w:space="0" w:color="auto"/>
            <w:bottom w:val="none" w:sz="0" w:space="0" w:color="auto"/>
            <w:right w:val="none" w:sz="0" w:space="0" w:color="auto"/>
          </w:divBdr>
        </w:div>
      </w:divsChild>
    </w:div>
    <w:div w:id="2010255594">
      <w:bodyDiv w:val="1"/>
      <w:marLeft w:val="0"/>
      <w:marRight w:val="0"/>
      <w:marTop w:val="0"/>
      <w:marBottom w:val="0"/>
      <w:divBdr>
        <w:top w:val="none" w:sz="0" w:space="0" w:color="auto"/>
        <w:left w:val="none" w:sz="0" w:space="0" w:color="auto"/>
        <w:bottom w:val="none" w:sz="0" w:space="0" w:color="auto"/>
        <w:right w:val="none" w:sz="0" w:space="0" w:color="auto"/>
      </w:divBdr>
      <w:divsChild>
        <w:div w:id="16493568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2087</Words>
  <Characters>11897</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Warham</dc:creator>
  <cp:keywords/>
  <dc:description/>
  <cp:lastModifiedBy>Phillipa Houghton</cp:lastModifiedBy>
  <cp:revision>3</cp:revision>
  <cp:lastPrinted>2026-09-16T07:31:00Z</cp:lastPrinted>
  <dcterms:created xsi:type="dcterms:W3CDTF">2026-09-22T09:14:00Z</dcterms:created>
  <dcterms:modified xsi:type="dcterms:W3CDTF">2026-09-22T09:22:00Z</dcterms:modified>
</cp:coreProperties>
</file>