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Y="1260"/>
        <w:tblW w:w="10768" w:type="dxa"/>
        <w:tblLayout w:type="fixed"/>
        <w:tblLook w:val="0000" w:firstRow="0" w:lastRow="0" w:firstColumn="0" w:lastColumn="0" w:noHBand="0" w:noVBand="0"/>
      </w:tblPr>
      <w:tblGrid>
        <w:gridCol w:w="3470"/>
        <w:gridCol w:w="3442"/>
        <w:gridCol w:w="596"/>
        <w:gridCol w:w="567"/>
        <w:gridCol w:w="567"/>
        <w:gridCol w:w="709"/>
        <w:gridCol w:w="709"/>
        <w:gridCol w:w="708"/>
      </w:tblGrid>
      <w:tr w:rsidR="001E0209" w:rsidRPr="008F062E" w:rsidTr="008F062E">
        <w:trPr>
          <w:trHeight w:val="253"/>
        </w:trPr>
        <w:tc>
          <w:tcPr>
            <w:tcW w:w="10060" w:type="dxa"/>
            <w:gridSpan w:val="7"/>
            <w:tcBorders>
              <w:top w:val="single" w:sz="4" w:space="0" w:color="302232"/>
              <w:left w:val="single" w:sz="4" w:space="0" w:color="252123"/>
              <w:bottom w:val="single" w:sz="4" w:space="0" w:color="483B4B"/>
              <w:right w:val="single" w:sz="4" w:space="0" w:color="auto"/>
            </w:tcBorders>
            <w:shd w:val="clear" w:color="auto" w:fill="1F497D" w:themeFill="text2"/>
            <w:vAlign w:val="center"/>
          </w:tcPr>
          <w:p w:rsidR="001E0209" w:rsidRPr="00B15243" w:rsidRDefault="008F062E" w:rsidP="008F06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15243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2118360</wp:posOffset>
                      </wp:positionH>
                      <wp:positionV relativeFrom="paragraph">
                        <wp:posOffset>-1221105</wp:posOffset>
                      </wp:positionV>
                      <wp:extent cx="2552700" cy="942975"/>
                      <wp:effectExtent l="0" t="0" r="0" b="9525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52700" cy="9429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8F062E" w:rsidRDefault="008F062E" w:rsidP="008F062E">
                                  <w:pPr>
                                    <w:jc w:val="center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3B2440A1" wp14:editId="681551C7">
                                        <wp:extent cx="904875" cy="818515"/>
                                        <wp:effectExtent l="0" t="0" r="9525" b="635"/>
                                        <wp:docPr id="2" name="Picture 2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Picture 1"/>
                                                <pic:cNvPicPr/>
                                              </pic:nvPicPr>
                                              <pic:blipFill>
                                                <a:blip r:embed="rId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04875" cy="8185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166.8pt;margin-top:-96.15pt;width:201pt;height:7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" fillcolor="white [3201]" stroked="f" strokeweight=".5pt">
                      <v:textbox>
                        <w:txbxContent>
                          <w:p w:rsidR="008F062E" w:rsidRDefault="008F062E" w:rsidP="008F062E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B2440A1" wp14:editId="681551C7">
                                  <wp:extent cx="904875" cy="818515"/>
                                  <wp:effectExtent l="0" t="0" r="9525" b="635"/>
                                  <wp:docPr id="2" name="Picture 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04875" cy="8185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E0209" w:rsidRPr="00B15243">
              <w:rPr>
                <w:rFonts w:ascii="Arial" w:hAnsi="Arial" w:cs="Arial"/>
                <w:sz w:val="20"/>
                <w:szCs w:val="20"/>
              </w:rPr>
              <w:br w:type="page"/>
            </w:r>
            <w:r w:rsidR="001E0209" w:rsidRPr="00B15243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Year </w:t>
            </w:r>
            <w:r w:rsidR="00B15243" w:rsidRPr="00B15243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1</w:t>
            </w:r>
            <w:r w:rsidR="001E0209" w:rsidRPr="00B15243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– Working at the expected standard</w:t>
            </w:r>
          </w:p>
        </w:tc>
        <w:tc>
          <w:tcPr>
            <w:tcW w:w="708" w:type="dxa"/>
            <w:tcBorders>
              <w:top w:val="single" w:sz="4" w:space="0" w:color="302232"/>
              <w:left w:val="single" w:sz="4" w:space="0" w:color="252123"/>
              <w:bottom w:val="single" w:sz="4" w:space="0" w:color="483B4B"/>
              <w:right w:val="single" w:sz="4" w:space="0" w:color="auto"/>
            </w:tcBorders>
            <w:shd w:val="clear" w:color="auto" w:fill="1F497D" w:themeFill="text2"/>
          </w:tcPr>
          <w:p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0209" w:rsidRPr="008F062E" w:rsidTr="008F062E">
        <w:trPr>
          <w:trHeight w:val="308"/>
        </w:trPr>
        <w:tc>
          <w:tcPr>
            <w:tcW w:w="6912" w:type="dxa"/>
            <w:gridSpan w:val="2"/>
            <w:tcBorders>
              <w:top w:val="single" w:sz="4" w:space="0" w:color="554F56"/>
              <w:left w:val="single" w:sz="4" w:space="0" w:color="252123"/>
              <w:bottom w:val="single" w:sz="4" w:space="0" w:color="3F3A3F"/>
              <w:right w:val="single" w:sz="4" w:space="0" w:color="292426"/>
            </w:tcBorders>
            <w:shd w:val="clear" w:color="auto" w:fill="8DB3E2" w:themeFill="text2" w:themeFillTint="66"/>
            <w:vAlign w:val="center"/>
          </w:tcPr>
          <w:p w:rsidR="001E0209" w:rsidRPr="00B15243" w:rsidRDefault="00B15243" w:rsidP="008F06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B15243">
              <w:rPr>
                <w:rFonts w:ascii="Arial" w:hAnsi="Arial" w:cs="Arial"/>
                <w:bCs/>
                <w:sz w:val="20"/>
                <w:szCs w:val="20"/>
              </w:rPr>
              <w:t>The pupil should be taught to write sentences by saying out loud what they are going to write about, compose a sentence orally before writing it and sequencing sentences to form a short narrative.  Pupils should be encouraged to re-read what they have written to check it makes sense:</w:t>
            </w:r>
          </w:p>
        </w:tc>
        <w:tc>
          <w:tcPr>
            <w:tcW w:w="596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292426"/>
            </w:tcBorders>
            <w:shd w:val="clear" w:color="auto" w:fill="8DB3E2" w:themeFill="text2" w:themeFillTint="66"/>
            <w:vAlign w:val="center"/>
          </w:tcPr>
          <w:p w:rsidR="001E0209" w:rsidRPr="008F062E" w:rsidRDefault="001E0209" w:rsidP="008F062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292426"/>
            </w:tcBorders>
            <w:shd w:val="clear" w:color="auto" w:fill="8DB3E2" w:themeFill="text2" w:themeFillTint="66"/>
            <w:vAlign w:val="center"/>
          </w:tcPr>
          <w:p w:rsidR="001E0209" w:rsidRPr="008F062E" w:rsidRDefault="001E0209" w:rsidP="008F062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292426"/>
            </w:tcBorders>
            <w:shd w:val="clear" w:color="auto" w:fill="8DB3E2" w:themeFill="text2" w:themeFillTint="66"/>
            <w:vAlign w:val="center"/>
          </w:tcPr>
          <w:p w:rsidR="001E0209" w:rsidRPr="008F062E" w:rsidRDefault="001E0209" w:rsidP="008F062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292426"/>
            </w:tcBorders>
            <w:shd w:val="clear" w:color="auto" w:fill="8DB3E2" w:themeFill="text2" w:themeFillTint="66"/>
            <w:vAlign w:val="center"/>
          </w:tcPr>
          <w:p w:rsidR="001E0209" w:rsidRPr="008F062E" w:rsidRDefault="001E0209" w:rsidP="008F062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1E0209" w:rsidRPr="008F062E" w:rsidRDefault="001E0209" w:rsidP="008F062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auto"/>
            </w:tcBorders>
            <w:shd w:val="clear" w:color="auto" w:fill="8DB3E2" w:themeFill="text2" w:themeFillTint="66"/>
          </w:tcPr>
          <w:p w:rsidR="001E0209" w:rsidRPr="008F062E" w:rsidRDefault="001E0209" w:rsidP="008F062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20"/>
                <w:szCs w:val="20"/>
              </w:rPr>
            </w:pPr>
          </w:p>
        </w:tc>
      </w:tr>
      <w:tr w:rsidR="001E0209" w:rsidRPr="008F062E" w:rsidTr="008F062E">
        <w:trPr>
          <w:trHeight w:val="397"/>
        </w:trPr>
        <w:tc>
          <w:tcPr>
            <w:tcW w:w="3470" w:type="dxa"/>
            <w:vMerge w:val="restart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</w:tcPr>
          <w:p w:rsidR="00B15243" w:rsidRPr="00B15243" w:rsidRDefault="00B15243" w:rsidP="00B1524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Use punctuation to demarcate simple sentences which can be read by others.</w:t>
            </w:r>
          </w:p>
          <w:p w:rsidR="00B15243" w:rsidRPr="00B15243" w:rsidRDefault="00B15243" w:rsidP="00B1524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B15243">
              <w:rPr>
                <w:rFonts w:ascii="Arial" w:hAnsi="Arial" w:cs="Arial"/>
                <w:color w:val="FF0000"/>
                <w:sz w:val="20"/>
                <w:szCs w:val="20"/>
              </w:rPr>
              <w:t>Identify and begin to use –</w:t>
            </w:r>
          </w:p>
          <w:p w:rsidR="00B15243" w:rsidRPr="00B15243" w:rsidRDefault="00B15243" w:rsidP="00B15243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  <w:p w:rsidR="00B15243" w:rsidRPr="00B15243" w:rsidRDefault="00B15243" w:rsidP="00B1524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Use capital letters to –</w:t>
            </w:r>
          </w:p>
          <w:p w:rsidR="001E0209" w:rsidRPr="00B15243" w:rsidRDefault="001E0209" w:rsidP="00B15243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344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1E0209" w:rsidRPr="00B15243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Capital letters and full stops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B15243" w:rsidRPr="008F062E" w:rsidTr="008F062E">
        <w:trPr>
          <w:trHeight w:val="397"/>
        </w:trPr>
        <w:tc>
          <w:tcPr>
            <w:tcW w:w="3470" w:type="dxa"/>
            <w:vMerge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</w:tcPr>
          <w:p w:rsidR="00B15243" w:rsidRPr="00B15243" w:rsidRDefault="00B15243" w:rsidP="00B1524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344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B15243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B15243">
              <w:rPr>
                <w:rFonts w:ascii="Arial" w:hAnsi="Arial" w:cs="Arial"/>
                <w:color w:val="FF0000"/>
                <w:sz w:val="20"/>
                <w:szCs w:val="20"/>
              </w:rPr>
              <w:t>Question marks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B15243" w:rsidRPr="008F062E" w:rsidTr="008F062E">
        <w:trPr>
          <w:trHeight w:val="397"/>
        </w:trPr>
        <w:tc>
          <w:tcPr>
            <w:tcW w:w="3470" w:type="dxa"/>
            <w:vMerge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</w:tcPr>
          <w:p w:rsidR="00B15243" w:rsidRPr="00B15243" w:rsidRDefault="00B15243" w:rsidP="00B1524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B15243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B15243">
              <w:rPr>
                <w:rFonts w:ascii="Arial" w:hAnsi="Arial" w:cs="Arial"/>
                <w:color w:val="FF0000"/>
                <w:sz w:val="20"/>
                <w:szCs w:val="20"/>
              </w:rPr>
              <w:t>Exclamation marks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B15243" w:rsidRPr="008F062E" w:rsidTr="008F062E">
        <w:trPr>
          <w:trHeight w:val="397"/>
        </w:trPr>
        <w:tc>
          <w:tcPr>
            <w:tcW w:w="3470" w:type="dxa"/>
            <w:vMerge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</w:tcPr>
          <w:p w:rsidR="00B15243" w:rsidRPr="00B15243" w:rsidRDefault="00B15243" w:rsidP="00B1524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B15243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ind w:left="21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Names of people and places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B15243" w:rsidRPr="008F062E" w:rsidTr="008F062E">
        <w:trPr>
          <w:trHeight w:val="397"/>
        </w:trPr>
        <w:tc>
          <w:tcPr>
            <w:tcW w:w="3470" w:type="dxa"/>
            <w:vMerge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</w:tcPr>
          <w:p w:rsidR="00B15243" w:rsidRPr="00B15243" w:rsidRDefault="00B15243" w:rsidP="00B1524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B15243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ind w:left="21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Days of the week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B15243" w:rsidRPr="008F062E" w:rsidTr="008F062E">
        <w:trPr>
          <w:trHeight w:val="397"/>
        </w:trPr>
        <w:tc>
          <w:tcPr>
            <w:tcW w:w="3470" w:type="dxa"/>
            <w:vMerge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</w:tcPr>
          <w:p w:rsidR="00B15243" w:rsidRPr="00B15243" w:rsidRDefault="00B15243" w:rsidP="00B1524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B15243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ind w:left="21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 xml:space="preserve">Personal pronoun 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B15243" w:rsidRPr="008F062E" w:rsidTr="008F062E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B15243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Write from memory simple sentences dictated by the teacher that include words using the GPC’s and common exception words taught so far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B15243" w:rsidRPr="008F062E" w:rsidTr="008F062E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B15243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Use formulaic phrases to open and close texts.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B15243" w:rsidRPr="008F062E" w:rsidTr="008F062E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B15243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Use the joining word and to link words and clauses.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B15243" w:rsidRPr="008F062E" w:rsidTr="008F062E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B15243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Use the prefix un-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B15243" w:rsidRPr="008F062E" w:rsidTr="008F062E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B15243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Using –</w:t>
            </w:r>
            <w:proofErr w:type="spellStart"/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ing</w:t>
            </w:r>
            <w:proofErr w:type="spellEnd"/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, -ed, -</w:t>
            </w:r>
            <w:proofErr w:type="spellStart"/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er</w:t>
            </w:r>
            <w:proofErr w:type="spellEnd"/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 xml:space="preserve"> and –</w:t>
            </w:r>
            <w:proofErr w:type="spellStart"/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est</w:t>
            </w:r>
            <w:proofErr w:type="spellEnd"/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 xml:space="preserve"> where no change is needed in the spelling of root words (</w:t>
            </w:r>
            <w:proofErr w:type="spellStart"/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eg</w:t>
            </w:r>
            <w:proofErr w:type="spellEnd"/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 xml:space="preserve"> – helping, helped, helper and quickest.)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B15243" w:rsidRPr="008F062E" w:rsidTr="008F062E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B15243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Using the spelling rule for adding – s and – es as the plural marker for nouns (dog – dogs, fox – foxes and I go, he goes)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B15243" w:rsidRPr="008F062E" w:rsidTr="008F062E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B15243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Segmenting spoken words into phonemes and representing these by</w:t>
            </w:r>
            <w:r w:rsidR="00177F84">
              <w:rPr>
                <w:rFonts w:ascii="Arial" w:hAnsi="Arial" w:cs="Arial"/>
                <w:color w:val="2A2928"/>
                <w:sz w:val="20"/>
                <w:szCs w:val="20"/>
              </w:rPr>
              <w:t xml:space="preserve"> </w:t>
            </w:r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graphemes, spelling some correctly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B15243" w:rsidRPr="008F062E" w:rsidTr="008F062E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B15243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Spelling some common exception words*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B15243" w:rsidRPr="008F062E" w:rsidTr="008F062E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B15243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Name the letters of the alphabet in order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B15243" w:rsidRPr="008F062E" w:rsidTr="008F062E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B15243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Using letter names to distinguish between alternative spellings of the same sound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B15243" w:rsidRPr="008F062E" w:rsidTr="008F062E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B15243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 xml:space="preserve">Spell words using the 40+ phonemes already taught, including making phonically plausible attempts at more complex words – </w:t>
            </w:r>
            <w:r w:rsidR="002A656B">
              <w:rPr>
                <w:rFonts w:ascii="Arial" w:hAnsi="Arial" w:cs="Arial"/>
                <w:color w:val="2A2928"/>
                <w:sz w:val="20"/>
                <w:szCs w:val="20"/>
              </w:rPr>
              <w:t>common exception words</w:t>
            </w:r>
            <w:bookmarkStart w:id="0" w:name="_GoBack"/>
            <w:bookmarkEnd w:id="0"/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B15243" w:rsidRPr="008F062E" w:rsidTr="008F062E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B15243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Begin to form lower case letters in the correct direction, starting and finishing in the right place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B15243" w:rsidRPr="008F062E" w:rsidTr="008F062E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B15243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Form capital letters and digits 0-9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B15243" w:rsidRPr="008F062E" w:rsidTr="00E938B2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B15243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Use spaces between words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right w:val="single" w:sz="4" w:space="0" w:color="211D1E"/>
            </w:tcBorders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B15243" w:rsidRPr="008F062E" w:rsidTr="008F062E">
        <w:trPr>
          <w:trHeight w:val="253"/>
        </w:trPr>
        <w:tc>
          <w:tcPr>
            <w:tcW w:w="10060" w:type="dxa"/>
            <w:gridSpan w:val="7"/>
            <w:tcBorders>
              <w:right w:val="single" w:sz="4" w:space="0" w:color="auto"/>
            </w:tcBorders>
            <w:shd w:val="clear" w:color="auto" w:fill="1F497D" w:themeFill="text2"/>
            <w:vAlign w:val="center"/>
          </w:tcPr>
          <w:p w:rsidR="00B15243" w:rsidRPr="00B15243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15243">
              <w:rPr>
                <w:rFonts w:ascii="Arial" w:hAnsi="Arial" w:cs="Arial"/>
                <w:sz w:val="20"/>
                <w:szCs w:val="20"/>
              </w:rPr>
              <w:br w:type="page"/>
            </w:r>
          </w:p>
          <w:p w:rsidR="00B15243" w:rsidRPr="00B15243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FFFFFF"/>
                <w:sz w:val="20"/>
                <w:szCs w:val="20"/>
              </w:rPr>
            </w:pPr>
            <w:r w:rsidRPr="00B15243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Year 1 – Working at greater depth within the expected standard </w:t>
            </w:r>
          </w:p>
        </w:tc>
        <w:tc>
          <w:tcPr>
            <w:tcW w:w="708" w:type="dxa"/>
            <w:tcBorders>
              <w:right w:val="single" w:sz="4" w:space="0" w:color="auto"/>
            </w:tcBorders>
            <w:shd w:val="clear" w:color="auto" w:fill="1F497D" w:themeFill="text2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5243" w:rsidRPr="008F062E" w:rsidTr="00B15243">
        <w:trPr>
          <w:trHeight w:val="188"/>
        </w:trPr>
        <w:tc>
          <w:tcPr>
            <w:tcW w:w="6912" w:type="dxa"/>
            <w:gridSpan w:val="2"/>
            <w:tcBorders>
              <w:top w:val="single" w:sz="4" w:space="0" w:color="554F56"/>
              <w:left w:val="single" w:sz="4" w:space="0" w:color="292327"/>
              <w:bottom w:val="single" w:sz="4" w:space="0" w:color="3F3A3F"/>
              <w:right w:val="single" w:sz="4" w:space="0" w:color="2F2A2D"/>
            </w:tcBorders>
            <w:shd w:val="clear" w:color="auto" w:fill="8DB3E2" w:themeFill="text2" w:themeFillTint="66"/>
            <w:vAlign w:val="center"/>
          </w:tcPr>
          <w:p w:rsidR="00B15243" w:rsidRPr="00B15243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rPr>
                <w:rFonts w:ascii="Avenir LT Std" w:hAnsi="Avenir LT Std" w:cs="Avenir LT Std"/>
                <w:color w:val="2A2928"/>
                <w:sz w:val="20"/>
                <w:szCs w:val="20"/>
              </w:rPr>
            </w:pPr>
            <w:r w:rsidRPr="00B15243">
              <w:rPr>
                <w:rFonts w:ascii="Arial" w:hAnsi="Arial" w:cs="Arial"/>
                <w:b/>
                <w:bCs/>
                <w:color w:val="2A2928"/>
                <w:sz w:val="20"/>
                <w:szCs w:val="20"/>
              </w:rPr>
              <w:t>The pupil can write for different purposes, after discussion with the teacher:</w:t>
            </w:r>
          </w:p>
        </w:tc>
        <w:tc>
          <w:tcPr>
            <w:tcW w:w="596" w:type="dxa"/>
            <w:tcBorders>
              <w:left w:val="single" w:sz="4" w:space="0" w:color="2F2A2D"/>
              <w:bottom w:val="single" w:sz="4" w:space="0" w:color="554F56"/>
              <w:right w:val="single" w:sz="4" w:space="0" w:color="2F2A2D"/>
            </w:tcBorders>
            <w:shd w:val="clear" w:color="auto" w:fill="8DB3E2" w:themeFill="text2" w:themeFillTint="66"/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2F2A2D"/>
              <w:bottom w:val="single" w:sz="4" w:space="0" w:color="554F56"/>
              <w:right w:val="single" w:sz="4" w:space="0" w:color="2F2A2D"/>
            </w:tcBorders>
            <w:shd w:val="clear" w:color="auto" w:fill="8DB3E2" w:themeFill="text2" w:themeFillTint="66"/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2F2A2D"/>
              <w:bottom w:val="single" w:sz="4" w:space="0" w:color="554F56"/>
              <w:right w:val="single" w:sz="4" w:space="0" w:color="2F2A2D"/>
            </w:tcBorders>
            <w:shd w:val="clear" w:color="auto" w:fill="8DB3E2" w:themeFill="text2" w:themeFillTint="66"/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2F2A2D"/>
              <w:bottom w:val="single" w:sz="4" w:space="0" w:color="554F56"/>
              <w:right w:val="single" w:sz="4" w:space="0" w:color="2F2A2D"/>
            </w:tcBorders>
            <w:shd w:val="clear" w:color="auto" w:fill="8DB3E2" w:themeFill="text2" w:themeFillTint="66"/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554F56"/>
              <w:left w:val="single" w:sz="4" w:space="0" w:color="2F2A2D"/>
              <w:bottom w:val="single" w:sz="4" w:space="0" w:color="211D1E"/>
              <w:right w:val="single" w:sz="4" w:space="0" w:color="2F2A2D"/>
            </w:tcBorders>
            <w:shd w:val="clear" w:color="auto" w:fill="8DB3E2" w:themeFill="text2" w:themeFillTint="66"/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554F56"/>
              <w:left w:val="single" w:sz="4" w:space="0" w:color="2F2A2D"/>
              <w:bottom w:val="single" w:sz="4" w:space="0" w:color="211D1E"/>
              <w:right w:val="single" w:sz="4" w:space="0" w:color="2F2A2D"/>
            </w:tcBorders>
            <w:shd w:val="clear" w:color="auto" w:fill="8DB3E2" w:themeFill="text2" w:themeFillTint="66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B15243" w:rsidRPr="008F062E" w:rsidTr="008F062E">
        <w:trPr>
          <w:trHeight w:val="56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92327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B15243" w:rsidRDefault="00B15243" w:rsidP="00B15243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 xml:space="preserve">Write in different forms with simple text type features, </w:t>
            </w:r>
            <w:proofErr w:type="spellStart"/>
            <w:r w:rsidRPr="00B15243">
              <w:rPr>
                <w:rFonts w:ascii="Arial" w:hAnsi="Arial" w:cs="Arial"/>
                <w:b/>
                <w:i/>
                <w:color w:val="2A2928"/>
                <w:sz w:val="20"/>
                <w:szCs w:val="20"/>
              </w:rPr>
              <w:t>eg</w:t>
            </w:r>
            <w:proofErr w:type="spellEnd"/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–narratives, recounts, poems and information texts.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B15243" w:rsidRPr="008F062E" w:rsidTr="008F062E">
        <w:trPr>
          <w:trHeight w:val="56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92327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B15243" w:rsidRDefault="00B15243" w:rsidP="00B15243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Use familiar plots for structuring the opening, middle and end of their stories.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B15243" w:rsidRPr="008F062E" w:rsidTr="008F062E">
        <w:trPr>
          <w:trHeight w:val="56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92327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B15243" w:rsidRDefault="00B15243" w:rsidP="00B15243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Extend range of joining words to link clauses using but, and or.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B15243" w:rsidRPr="008F062E" w:rsidTr="008F062E">
        <w:trPr>
          <w:trHeight w:val="56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92327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B15243" w:rsidRDefault="00B15243" w:rsidP="00B15243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B15243">
              <w:rPr>
                <w:rFonts w:ascii="Arial" w:hAnsi="Arial" w:cs="Arial"/>
                <w:color w:val="2A2928"/>
                <w:sz w:val="20"/>
                <w:szCs w:val="20"/>
              </w:rPr>
              <w:t>Spell most common exception words*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B15243" w:rsidRPr="008F062E" w:rsidRDefault="00B15243" w:rsidP="00B15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</w:tbl>
    <w:p w:rsidR="00CD1DE0" w:rsidRPr="008F062E" w:rsidRDefault="00CD1DE0" w:rsidP="00CD1DE0">
      <w:pPr>
        <w:rPr>
          <w:rFonts w:ascii="Arial" w:hAnsi="Arial" w:cs="Arial"/>
          <w:sz w:val="20"/>
          <w:szCs w:val="20"/>
        </w:rPr>
      </w:pPr>
    </w:p>
    <w:p w:rsidR="00CD1DE0" w:rsidRPr="008F062E" w:rsidRDefault="00CD1DE0" w:rsidP="00B616BD">
      <w:pPr>
        <w:rPr>
          <w:rFonts w:ascii="Arial" w:hAnsi="Arial" w:cs="Arial"/>
          <w:sz w:val="20"/>
          <w:szCs w:val="20"/>
        </w:rPr>
      </w:pPr>
    </w:p>
    <w:p w:rsidR="00D54C60" w:rsidRPr="008F062E" w:rsidRDefault="00D54C60" w:rsidP="00B616BD">
      <w:pPr>
        <w:rPr>
          <w:rFonts w:ascii="Arial" w:hAnsi="Arial" w:cs="Arial"/>
          <w:sz w:val="20"/>
          <w:szCs w:val="20"/>
        </w:rPr>
      </w:pPr>
    </w:p>
    <w:sectPr w:rsidR="00D54C60" w:rsidRPr="008F062E" w:rsidSect="008F062E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062E" w:rsidRDefault="008F062E" w:rsidP="008F062E">
      <w:pPr>
        <w:spacing w:after="0" w:line="240" w:lineRule="auto"/>
      </w:pPr>
      <w:r>
        <w:separator/>
      </w:r>
    </w:p>
  </w:endnote>
  <w:endnote w:type="continuationSeparator" w:id="0">
    <w:p w:rsidR="008F062E" w:rsidRDefault="008F062E" w:rsidP="008F06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venir LT Std 55 Roman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LT St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062E" w:rsidRDefault="008F062E" w:rsidP="008F062E">
      <w:pPr>
        <w:spacing w:after="0" w:line="240" w:lineRule="auto"/>
      </w:pPr>
      <w:r>
        <w:separator/>
      </w:r>
    </w:p>
  </w:footnote>
  <w:footnote w:type="continuationSeparator" w:id="0">
    <w:p w:rsidR="008F062E" w:rsidRDefault="008F062E" w:rsidP="008F06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0364BA"/>
    <w:multiLevelType w:val="hybridMultilevel"/>
    <w:tmpl w:val="F4C035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B131AE"/>
    <w:multiLevelType w:val="hybridMultilevel"/>
    <w:tmpl w:val="50F43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846C6B"/>
    <w:multiLevelType w:val="hybridMultilevel"/>
    <w:tmpl w:val="24BEED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F900D7"/>
    <w:multiLevelType w:val="hybridMultilevel"/>
    <w:tmpl w:val="EB083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1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5DE"/>
    <w:rsid w:val="00093F5E"/>
    <w:rsid w:val="00124B15"/>
    <w:rsid w:val="00175026"/>
    <w:rsid w:val="00177F84"/>
    <w:rsid w:val="001E0209"/>
    <w:rsid w:val="002A5926"/>
    <w:rsid w:val="002A656B"/>
    <w:rsid w:val="00445D76"/>
    <w:rsid w:val="004C2892"/>
    <w:rsid w:val="004C3A34"/>
    <w:rsid w:val="004C5279"/>
    <w:rsid w:val="00507981"/>
    <w:rsid w:val="00643F5E"/>
    <w:rsid w:val="00646E55"/>
    <w:rsid w:val="006865F9"/>
    <w:rsid w:val="007665B3"/>
    <w:rsid w:val="007915DE"/>
    <w:rsid w:val="007E0667"/>
    <w:rsid w:val="007F20C5"/>
    <w:rsid w:val="0088463C"/>
    <w:rsid w:val="008B3AF0"/>
    <w:rsid w:val="008C5AFC"/>
    <w:rsid w:val="008F062E"/>
    <w:rsid w:val="009302AD"/>
    <w:rsid w:val="0094506C"/>
    <w:rsid w:val="009C5050"/>
    <w:rsid w:val="009C7613"/>
    <w:rsid w:val="00A13529"/>
    <w:rsid w:val="00A228DB"/>
    <w:rsid w:val="00A909F8"/>
    <w:rsid w:val="00B06494"/>
    <w:rsid w:val="00B15243"/>
    <w:rsid w:val="00B616BD"/>
    <w:rsid w:val="00CD1DE0"/>
    <w:rsid w:val="00D20DC3"/>
    <w:rsid w:val="00D54C60"/>
    <w:rsid w:val="00D7306B"/>
    <w:rsid w:val="00DE23B7"/>
    <w:rsid w:val="00DF6350"/>
    <w:rsid w:val="00E32097"/>
    <w:rsid w:val="00E36040"/>
    <w:rsid w:val="00E86735"/>
    <w:rsid w:val="00ED374E"/>
    <w:rsid w:val="00EF5323"/>
    <w:rsid w:val="00F04BFC"/>
    <w:rsid w:val="00F75A8A"/>
    <w:rsid w:val="00FD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2050A03"/>
  <w15:docId w15:val="{F44C361F-A2AF-4CD7-B857-33A728EF3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302AD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7915DE"/>
    <w:pPr>
      <w:autoSpaceDE w:val="0"/>
      <w:autoSpaceDN w:val="0"/>
      <w:adjustRightInd w:val="0"/>
    </w:pPr>
    <w:rPr>
      <w:rFonts w:ascii="Avenir LT Std 55 Roman" w:hAnsi="Avenir LT Std 55 Roman" w:cs="Avenir LT Std 55 Roman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7915D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46E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46E55"/>
    <w:rPr>
      <w:rFonts w:ascii="Tahoma" w:hAnsi="Tahoma" w:cs="Tahoma"/>
      <w:sz w:val="16"/>
      <w:szCs w:val="16"/>
      <w:lang w:val="en-GB"/>
    </w:rPr>
  </w:style>
  <w:style w:type="table" w:styleId="TableGrid">
    <w:name w:val="Table Grid"/>
    <w:basedOn w:val="TableNormal"/>
    <w:locked/>
    <w:rsid w:val="00646E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F06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062E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F06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062E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End of Key Stage 1 Statutory Assessment</vt:lpstr>
    </vt:vector>
  </TitlesOfParts>
  <Company>arvato</Company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End of Key Stage 1 Statutory Assessment</dc:title>
  <dc:creator>Sue Pooley</dc:creator>
  <cp:lastModifiedBy>Lucy Wright</cp:lastModifiedBy>
  <cp:revision>6</cp:revision>
  <dcterms:created xsi:type="dcterms:W3CDTF">2019-09-12T11:28:00Z</dcterms:created>
  <dcterms:modified xsi:type="dcterms:W3CDTF">2025-03-02T15:36:00Z</dcterms:modified>
</cp:coreProperties>
</file>